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20" w:right="1380" w:hanging="3264"/>
        <w:spacing w:after="0" w:line="500" w:lineRule="auto"/>
        <w:tabs>
          <w:tab w:leader="none" w:pos="108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080" w:hanging="424"/>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6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001-38801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AerSale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380" w:type="dxa"/>
            <w:vAlign w:val="bottom"/>
          </w:tcPr>
          <w:p>
            <w:pPr>
              <w:jc w:val="center"/>
              <w:ind w:right="329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82-1751907</w:t>
            </w:r>
          </w:p>
        </w:tc>
      </w:tr>
      <w:tr>
        <w:trPr>
          <w:trHeight w:val="216"/>
        </w:trPr>
        <w:tc>
          <w:tcPr>
            <w:tcW w:w="6380" w:type="dxa"/>
            <w:vAlign w:val="bottom"/>
          </w:tcPr>
          <w:p>
            <w:pPr>
              <w:jc w:val="center"/>
              <w:ind w:right="3290"/>
              <w:spacing w:after="0"/>
              <w:rPr>
                <w:sz w:val="20"/>
                <w:szCs w:val="20"/>
                <w:color w:val="auto"/>
              </w:rPr>
            </w:pPr>
            <w:r>
              <w:rPr>
                <w:rFonts w:ascii="Arial" w:cs="Arial" w:eastAsia="Arial" w:hAnsi="Arial"/>
                <w:sz w:val="18"/>
                <w:szCs w:val="18"/>
                <w:b w:val="1"/>
                <w:bCs w:val="1"/>
                <w:color w:val="auto"/>
                <w:w w:val="90"/>
              </w:rPr>
              <w:t>(State or other jurisdiction of</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380" w:type="dxa"/>
            <w:vAlign w:val="bottom"/>
          </w:tcPr>
          <w:p>
            <w:pPr>
              <w:jc w:val="center"/>
              <w:ind w:right="3290"/>
              <w:spacing w:after="0"/>
              <w:rPr>
                <w:sz w:val="20"/>
                <w:szCs w:val="20"/>
                <w:color w:val="auto"/>
              </w:rPr>
            </w:pPr>
            <w:r>
              <w:rPr>
                <w:rFonts w:ascii="Arial" w:cs="Arial" w:eastAsia="Arial" w:hAnsi="Arial"/>
                <w:sz w:val="18"/>
                <w:szCs w:val="18"/>
                <w:b w:val="1"/>
                <w:bCs w:val="1"/>
                <w:color w:val="auto"/>
                <w:w w:val="91"/>
              </w:rPr>
              <w:t>incorporation or organization)</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380" w:type="dxa"/>
            <w:vAlign w:val="bottom"/>
          </w:tcPr>
          <w:p>
            <w:pPr>
              <w:jc w:val="center"/>
              <w:ind w:right="3290"/>
              <w:spacing w:after="0"/>
              <w:rPr>
                <w:sz w:val="20"/>
                <w:szCs w:val="20"/>
                <w:color w:val="auto"/>
              </w:rPr>
            </w:pPr>
            <w:r>
              <w:rPr>
                <w:rFonts w:ascii="Arial" w:cs="Arial" w:eastAsia="Arial" w:hAnsi="Arial"/>
                <w:sz w:val="18"/>
                <w:szCs w:val="18"/>
                <w:b w:val="1"/>
                <w:bCs w:val="1"/>
                <w:color w:val="auto"/>
                <w:w w:val="91"/>
              </w:rPr>
              <w:t>121 Alhambra Plaza, Suite</w:t>
            </w:r>
          </w:p>
        </w:tc>
        <w:tc>
          <w:tcPr>
            <w:tcW w:w="1440" w:type="dxa"/>
            <w:vAlign w:val="bottom"/>
          </w:tcPr>
          <w:p>
            <w:pPr>
              <w:spacing w:after="0"/>
              <w:rPr>
                <w:sz w:val="24"/>
                <w:szCs w:val="24"/>
                <w:color w:val="auto"/>
              </w:rPr>
            </w:pPr>
          </w:p>
        </w:tc>
      </w:tr>
      <w:tr>
        <w:trPr>
          <w:trHeight w:val="216"/>
        </w:trPr>
        <w:tc>
          <w:tcPr>
            <w:tcW w:w="6380" w:type="dxa"/>
            <w:vAlign w:val="bottom"/>
          </w:tcPr>
          <w:p>
            <w:pPr>
              <w:jc w:val="center"/>
              <w:ind w:right="3290"/>
              <w:spacing w:after="0"/>
              <w:rPr>
                <w:sz w:val="20"/>
                <w:szCs w:val="20"/>
                <w:color w:val="auto"/>
              </w:rPr>
            </w:pPr>
            <w:r>
              <w:rPr>
                <w:rFonts w:ascii="Arial" w:cs="Arial" w:eastAsia="Arial" w:hAnsi="Arial"/>
                <w:sz w:val="18"/>
                <w:szCs w:val="18"/>
                <w:b w:val="1"/>
                <w:bCs w:val="1"/>
                <w:color w:val="auto"/>
                <w:w w:val="91"/>
              </w:rPr>
              <w:t>1700 Coral Gables, Florida</w:t>
            </w: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33134</w:t>
            </w:r>
          </w:p>
        </w:tc>
      </w:tr>
      <w:tr>
        <w:trPr>
          <w:trHeight w:val="234"/>
        </w:trPr>
        <w:tc>
          <w:tcPr>
            <w:tcW w:w="6380" w:type="dxa"/>
            <w:vAlign w:val="bottom"/>
          </w:tcPr>
          <w:p>
            <w:pPr>
              <w:jc w:val="center"/>
              <w:ind w:right="33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380" w:type="dxa"/>
            <w:vAlign w:val="bottom"/>
          </w:tcPr>
          <w:p>
            <w:pPr>
              <w:jc w:val="right"/>
              <w:ind w:right="1430"/>
              <w:spacing w:after="0"/>
              <w:rPr>
                <w:sz w:val="20"/>
                <w:szCs w:val="20"/>
                <w:color w:val="auto"/>
              </w:rPr>
            </w:pPr>
            <w:r>
              <w:rPr>
                <w:rFonts w:ascii="Arial" w:cs="Arial" w:eastAsia="Arial" w:hAnsi="Arial"/>
                <w:sz w:val="18"/>
                <w:szCs w:val="18"/>
                <w:b w:val="1"/>
                <w:bCs w:val="1"/>
                <w:color w:val="auto"/>
              </w:rPr>
              <w:t>(305) 764-3200</w:t>
            </w:r>
          </w:p>
        </w:tc>
        <w:tc>
          <w:tcPr>
            <w:tcW w:w="1440" w:type="dxa"/>
            <w:vAlign w:val="bottom"/>
          </w:tcPr>
          <w:p>
            <w:pPr>
              <w:spacing w:after="0"/>
              <w:rPr>
                <w:sz w:val="24"/>
                <w:szCs w:val="24"/>
                <w:color w:val="auto"/>
              </w:rPr>
            </w:pPr>
          </w:p>
        </w:tc>
      </w:tr>
      <w:tr>
        <w:trPr>
          <w:trHeight w:val="234"/>
        </w:trPr>
        <w:tc>
          <w:tcPr>
            <w:tcW w:w="6380" w:type="dxa"/>
            <w:vAlign w:val="bottom"/>
          </w:tcPr>
          <w:p>
            <w:pPr>
              <w:jc w:val="center"/>
              <w:ind w:left="215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440" w:type="dxa"/>
            <w:vAlign w:val="bottom"/>
          </w:tcPr>
          <w:p>
            <w:pPr>
              <w:spacing w:after="0"/>
              <w:rPr>
                <w:sz w:val="20"/>
                <w:szCs w:val="20"/>
                <w:color w:val="auto"/>
              </w:rPr>
            </w:pPr>
          </w:p>
        </w:tc>
      </w:tr>
    </w:tbl>
    <w:p>
      <w:pPr>
        <w:ind w:left="2700"/>
        <w:spacing w:after="0"/>
        <w:rPr>
          <w:sz w:val="20"/>
          <w:szCs w:val="20"/>
          <w:color w:val="auto"/>
        </w:rPr>
      </w:pPr>
      <w:r>
        <w:rPr>
          <w:rFonts w:ascii="Arial" w:cs="Arial" w:eastAsia="Arial" w:hAnsi="Arial"/>
          <w:sz w:val="18"/>
          <w:szCs w:val="18"/>
          <w:b w:val="1"/>
          <w:bCs w:val="1"/>
          <w:color w:val="auto"/>
        </w:rPr>
        <w:t>_________________________________________________________________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7"/>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ASLE</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22"/>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Redeemable warrants, each warrant exercisable for one share</w:t>
            </w:r>
          </w:p>
        </w:tc>
        <w:tc>
          <w:tcPr>
            <w:tcW w:w="224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spacing w:after="0"/>
              <w:rPr>
                <w:sz w:val="19"/>
                <w:szCs w:val="19"/>
                <w:color w:val="auto"/>
              </w:rPr>
            </w:pPr>
          </w:p>
        </w:tc>
      </w:tr>
      <w:tr>
        <w:trPr>
          <w:trHeight w:val="230"/>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of Common Stock at an exercise price of $11.50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ASLEW</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36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40" w:type="dxa"/>
            <w:vAlign w:val="bottom"/>
          </w:tcPr>
          <w:p>
            <w:pPr>
              <w:ind w:left="334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40" w:type="dxa"/>
            <w:vAlign w:val="bottom"/>
          </w:tcPr>
          <w:p>
            <w:pPr>
              <w:ind w:left="3340"/>
              <w:spacing w:after="0"/>
              <w:rPr>
                <w:sz w:val="20"/>
                <w:szCs w:val="20"/>
                <w:color w:val="auto"/>
              </w:rPr>
            </w:pPr>
            <w:r>
              <w:rPr>
                <w:rFonts w:ascii="Arial" w:cs="Arial" w:eastAsia="Arial" w:hAnsi="Arial"/>
                <w:sz w:val="18"/>
                <w:szCs w:val="18"/>
                <w:color w:val="auto"/>
                <w:w w:val="96"/>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440" w:type="dxa"/>
            <w:vAlign w:val="bottom"/>
          </w:tcPr>
          <w:p>
            <w:pPr>
              <w:ind w:left="334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ectPr>
          <w:pgSz w:w="11900" w:h="16915" w:orient="portrait"/>
          <w:cols w:equalWidth="0" w:num="1">
            <w:col w:w="11240"/>
          </w:cols>
          <w:pgMar w:left="320" w:top="400" w:right="339" w:bottom="0" w:gutter="0" w:footer="0" w:header="0"/>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issued its audit report. </w:t>
      </w:r>
      <w:r>
        <w:rPr>
          <w:rFonts w:ascii="MS PGothic" w:cs="MS PGothic" w:eastAsia="MS PGothic" w:hAnsi="MS PGothic"/>
          <w:sz w:val="18"/>
          <w:szCs w:val="18"/>
          <w:color w:val="auto"/>
        </w:rPr>
        <w:t>☐</w:t>
      </w:r>
    </w:p>
    <w:p>
      <w:pPr>
        <w:spacing w:after="0" w:line="22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market value of voting and non-voting stock held by non-affiliates of Monocle Acquisition Corporation, our predecessor, on June 30, 2020, based on the closing price of $10.27 for shares of Monocle Acquisition Corporation’s common stock, was approximately $177,157,500. Shares of common stock beneficially owned by each executive officer, director, and holder of more than 10% of our common stock have been excluded in that such persons may be deemed to be affiliates.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Registrant’s Common Stock outstanding as of February 3, 2021 was 41,046,216.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Portions of the registrant’s definitive Proxy Statement for the Registrant’s 2021 Annual Meeting of Stockholders to be filed with the Securities and Exchange Commission within 120 days of the end of the registrant’s fiscal year ended December 31, 2020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0" w:type="dxa"/>
            <w:vAlign w:val="bottom"/>
            <w:gridSpan w:val="3"/>
          </w:tcPr>
          <w:p>
            <w:pPr>
              <w:ind w:left="2540"/>
              <w:spacing w:after="0"/>
              <w:rPr>
                <w:sz w:val="20"/>
                <w:szCs w:val="20"/>
                <w:color w:val="auto"/>
              </w:rPr>
            </w:pPr>
            <w:r>
              <w:rPr>
                <w:rFonts w:ascii="Arial" w:cs="Arial" w:eastAsia="Arial" w:hAnsi="Arial"/>
                <w:sz w:val="18"/>
                <w:szCs w:val="18"/>
                <w:b w:val="1"/>
                <w:bCs w:val="1"/>
                <w:color w:val="auto"/>
              </w:rPr>
              <w:t>CONTENTS</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w:t>
              </w:r>
            </w:hyperlink>
          </w:p>
        </w:tc>
        <w:tc>
          <w:tcPr>
            <w:tcW w:w="9940" w:type="dxa"/>
            <w:vAlign w:val="bottom"/>
            <w:gridSpan w:val="5"/>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4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1A</w:t>
              </w:r>
            </w:hyperlink>
          </w:p>
        </w:tc>
        <w:tc>
          <w:tcPr>
            <w:tcW w:w="9940" w:type="dxa"/>
            <w:vAlign w:val="bottom"/>
            <w:gridSpan w:val="5"/>
            <w:shd w:val="clear" w:color="auto" w:fill="CCEEFF"/>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1B</w:t>
              </w:r>
            </w:hyperlink>
          </w:p>
        </w:tc>
        <w:tc>
          <w:tcPr>
            <w:tcW w:w="994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UNRESOLVED STAFF COMMENTS</w:t>
              </w:r>
            </w:hyperlink>
          </w:p>
        </w:tc>
        <w:tc>
          <w:tcPr>
            <w:tcW w:w="46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w:t>
              </w:r>
            </w:hyperlink>
          </w:p>
        </w:tc>
        <w:tc>
          <w:tcPr>
            <w:tcW w:w="9940" w:type="dxa"/>
            <w:vAlign w:val="bottom"/>
            <w:gridSpan w:val="5"/>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PROPERTIES</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3.</w:t>
              </w:r>
            </w:hyperlink>
          </w:p>
        </w:tc>
        <w:tc>
          <w:tcPr>
            <w:tcW w:w="9940" w:type="dxa"/>
            <w:vAlign w:val="bottom"/>
            <w:gridSpan w:val="5"/>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LEGAL PROCEEDINGS</w:t>
              </w:r>
            </w:hyperlink>
          </w:p>
        </w:tc>
        <w:tc>
          <w:tcPr>
            <w:tcW w:w="46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4.</w:t>
              </w:r>
            </w:hyperlink>
          </w:p>
        </w:tc>
        <w:tc>
          <w:tcPr>
            <w:tcW w:w="9940" w:type="dxa"/>
            <w:vAlign w:val="bottom"/>
            <w:gridSpan w:val="5"/>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MINE SAFETY DISCLOSURES</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line="176"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5.</w:t>
              </w:r>
            </w:hyperlink>
          </w:p>
        </w:tc>
        <w:tc>
          <w:tcPr>
            <w:tcW w:w="9840" w:type="dxa"/>
            <w:vAlign w:val="bottom"/>
            <w:tcBorders>
              <w:bottom w:val="single" w:sz="8" w:color="0000EE"/>
            </w:tcBorders>
            <w:gridSpan w:val="4"/>
          </w:tcPr>
          <w:p>
            <w:pPr>
              <w:spacing w:after="0" w:line="17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MARKET FOR REGISTRATANT’S COMMON EQUITY, RELATED STOCKHOLDER MATTERS AND ISSUER PURCHASES OF</w:t>
              </w:r>
            </w:hyperlink>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9940" w:type="dxa"/>
            <w:vAlign w:val="bottom"/>
            <w:gridSpan w:val="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EQUITY SECURITIES</w:t>
              </w:r>
            </w:hyperlink>
          </w:p>
        </w:tc>
        <w:tc>
          <w:tcPr>
            <w:tcW w:w="480" w:type="dxa"/>
            <w:vAlign w:val="bottom"/>
            <w:gridSpan w:val="2"/>
          </w:tcPr>
          <w:p>
            <w:pPr>
              <w:jc w:val="right"/>
              <w:ind w:right="20"/>
              <w:spacing w:after="0" w:line="196"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26</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6.</w:t>
              </w:r>
            </w:hyperlink>
          </w:p>
        </w:tc>
        <w:tc>
          <w:tcPr>
            <w:tcW w:w="9940" w:type="dxa"/>
            <w:vAlign w:val="bottom"/>
            <w:gridSpan w:val="5"/>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[RESERVED.]</w:t>
              </w:r>
            </w:hyperlink>
          </w:p>
        </w:tc>
        <w:tc>
          <w:tcPr>
            <w:tcW w:w="46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7.</w:t>
              </w:r>
            </w:hyperlink>
          </w:p>
        </w:tc>
        <w:tc>
          <w:tcPr>
            <w:tcW w:w="9940" w:type="dxa"/>
            <w:vAlign w:val="bottom"/>
            <w:gridSpan w:val="5"/>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MANAGEMENT’S DISCUSSION AND ANALYSIS OF FINANCIAL CONDITION AND RESULTS OF OPERATIONS</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8.</w:t>
              </w:r>
            </w:hyperlink>
          </w:p>
        </w:tc>
        <w:tc>
          <w:tcPr>
            <w:tcW w:w="9940" w:type="dxa"/>
            <w:vAlign w:val="bottom"/>
            <w:gridSpan w:val="5"/>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FINANCIAL STATEMENTS AND SUPPLEMENTARY DATA</w:t>
              </w:r>
            </w:hyperlink>
          </w:p>
        </w:tc>
        <w:tc>
          <w:tcPr>
            <w:tcW w:w="460" w:type="dxa"/>
            <w:vAlign w:val="bottom"/>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40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 9.</w:t>
              </w:r>
            </w:hyperlink>
          </w:p>
        </w:tc>
        <w:tc>
          <w:tcPr>
            <w:tcW w:w="9940" w:type="dxa"/>
            <w:vAlign w:val="bottom"/>
            <w:gridSpan w:val="5"/>
            <w:shd w:val="clear" w:color="auto" w:fill="CCEEFF"/>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CHANGES IN AND DISAGREEMENTS WITH ACCOUNTANTS ON ACCOUNTING AND FINANCIAL DISCLOSURE</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77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9A</w:t>
              </w:r>
            </w:hyperlink>
          </w:p>
        </w:tc>
        <w:tc>
          <w:tcPr>
            <w:tcW w:w="9940" w:type="dxa"/>
            <w:vAlign w:val="bottom"/>
            <w:gridSpan w:val="5"/>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CONTROLS AND PROCEDURES</w:t>
              </w:r>
            </w:hyperlink>
          </w:p>
        </w:tc>
        <w:tc>
          <w:tcPr>
            <w:tcW w:w="460" w:type="dxa"/>
            <w:vAlign w:val="bottom"/>
          </w:tcPr>
          <w:p>
            <w:pPr>
              <w:jc w:val="right"/>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78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ITEM 9B</w:t>
              </w:r>
            </w:hyperlink>
          </w:p>
        </w:tc>
        <w:tc>
          <w:tcPr>
            <w:tcW w:w="9940" w:type="dxa"/>
            <w:vAlign w:val="bottom"/>
            <w:gridSpan w:val="5"/>
            <w:shd w:val="clear" w:color="auto" w:fill="CCEEFF"/>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OTHER INFORMATION</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79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10.</w:t>
              </w:r>
            </w:hyperlink>
          </w:p>
        </w:tc>
        <w:tc>
          <w:tcPr>
            <w:tcW w:w="9940" w:type="dxa"/>
            <w:vAlign w:val="bottom"/>
            <w:gridSpan w:val="5"/>
            <w:shd w:val="clear" w:color="auto" w:fill="CCEEFF"/>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DIRECTORS, EXECUTIVE OFFICERS AND CORPORATE GOVERNANCE</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80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11.</w:t>
              </w:r>
            </w:hyperlink>
          </w:p>
        </w:tc>
        <w:tc>
          <w:tcPr>
            <w:tcW w:w="9940" w:type="dxa"/>
            <w:vAlign w:val="bottom"/>
            <w:gridSpan w:val="5"/>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EXECUTIVE COMPENSATION</w:t>
              </w:r>
            </w:hyperlink>
          </w:p>
        </w:tc>
        <w:tc>
          <w:tcPr>
            <w:tcW w:w="460" w:type="dxa"/>
            <w:vAlign w:val="bottom"/>
          </w:tcPr>
          <w:p>
            <w:pPr>
              <w:jc w:val="right"/>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85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 w:type="dxa"/>
            <w:vAlign w:val="bottom"/>
            <w:tcBorders>
              <w:bottom w:val="single" w:sz="8" w:color="CCEEFF"/>
            </w:tcBorders>
            <w:shd w:val="clear" w:color="auto" w:fill="CCEEFF"/>
          </w:tcPr>
          <w:p>
            <w:pPr>
              <w:spacing w:after="0" w:line="176"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12.</w:t>
              </w:r>
            </w:hyperlink>
          </w:p>
        </w:tc>
        <w:tc>
          <w:tcPr>
            <w:tcW w:w="93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SECURITY OWNERSHIP OF CERTAIN BENEFICIAL OWNERS AND MANAGEMENT AND RELATED STOCKHOLDER</w:t>
              </w:r>
            </w:hyperlink>
          </w:p>
        </w:tc>
        <w:tc>
          <w:tcPr>
            <w:tcW w:w="560" w:type="dxa"/>
            <w:vAlign w:val="bottom"/>
            <w:tcBorders>
              <w:bottom w:val="single" w:sz="8" w:color="CCEEFF"/>
            </w:tcBorders>
            <w:gridSpan w:val="2"/>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9940" w:type="dxa"/>
            <w:vAlign w:val="bottom"/>
            <w:gridSpan w:val="5"/>
            <w:shd w:val="clear" w:color="auto" w:fill="CCEEFF"/>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MATTERS</w:t>
              </w:r>
            </w:hyperlink>
          </w:p>
        </w:tc>
        <w:tc>
          <w:tcPr>
            <w:tcW w:w="460" w:type="dxa"/>
            <w:vAlign w:val="bottom"/>
            <w:shd w:val="clear" w:color="auto" w:fill="CCEEFF"/>
          </w:tcPr>
          <w:p>
            <w:pPr>
              <w:jc w:val="right"/>
              <w:spacing w:after="0" w:line="196"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85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7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ITEM 13.</w:t>
              </w:r>
            </w:hyperlink>
          </w:p>
        </w:tc>
        <w:tc>
          <w:tcPr>
            <w:tcW w:w="9940" w:type="dxa"/>
            <w:vAlign w:val="bottom"/>
            <w:gridSpan w:val="5"/>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CERTAIN RELATIONSHIPS AND RELATED TRANSACTIONS, AND DIRECTOR INDEPENDENCE</w:t>
              </w:r>
            </w:hyperlink>
          </w:p>
        </w:tc>
        <w:tc>
          <w:tcPr>
            <w:tcW w:w="460" w:type="dxa"/>
            <w:vAlign w:val="bottom"/>
          </w:tcPr>
          <w:p>
            <w:pPr>
              <w:jc w:val="right"/>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86</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ITEM 14.</w:t>
              </w:r>
            </w:hyperlink>
          </w:p>
        </w:tc>
        <w:tc>
          <w:tcPr>
            <w:tcW w:w="9940" w:type="dxa"/>
            <w:vAlign w:val="bottom"/>
            <w:gridSpan w:val="5"/>
            <w:shd w:val="clear" w:color="auto" w:fill="CCEEFF"/>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PRINCIPAL ACCOUNTANT FEES AND SERVICES</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86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ITEM 15.</w:t>
              </w:r>
            </w:hyperlink>
          </w:p>
        </w:tc>
        <w:tc>
          <w:tcPr>
            <w:tcW w:w="9940" w:type="dxa"/>
            <w:vAlign w:val="bottom"/>
            <w:gridSpan w:val="5"/>
            <w:shd w:val="clear" w:color="auto" w:fill="CCEEFF"/>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EXHIBITS AND FINANCIAL STATEMENT SCHEDULES</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86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ITEM 16.</w:t>
              </w:r>
            </w:hyperlink>
          </w:p>
        </w:tc>
        <w:tc>
          <w:tcPr>
            <w:tcW w:w="9940" w:type="dxa"/>
            <w:vAlign w:val="bottom"/>
            <w:gridSpan w:val="5"/>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FORM 10-K SUMMARY</w:t>
              </w:r>
            </w:hyperlink>
          </w:p>
        </w:tc>
        <w:tc>
          <w:tcPr>
            <w:tcW w:w="460" w:type="dxa"/>
            <w:vAlign w:val="bottom"/>
          </w:tcPr>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90</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8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gridSpan w:val="3"/>
          </w:tcPr>
          <w:p>
            <w:pPr>
              <w:ind w:left="472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Annual Report on Form 10-K (this “Annual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Annual Report, including statements relating to the benefits of the Business Combination (as defined herein), the future financial performance of the post-combination company following the Business Combination, the impact of the COVID-19 pandemic on our business, changes in the market for our services, changes in applicable laws or regulations; the inability to launch new services and products or to profitably expand into new markets, and the possibility that we may be adversely affected by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stated or the context otherwise requires, references in this Annual Report to the “Company,” “AerSale,” “we,” “us,” “our” and similar terms refer to AerSale Corporation (f/k/a Monocle Holdings, Inc.) and its consolidated subsidiaries.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Annual Report on Form 10-K. You should carefully consider these risks and uncertainties when investing in our ordinary shares. The principal risks and uncertainties affecting our business include the following:</w:t>
      </w:r>
    </w:p>
    <w:p>
      <w:pPr>
        <w:spacing w:after="0" w:line="184"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had a material adverse impact on our business, operating results, financial condition and liquidity;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that adversely impact the commercial aviation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fluctuating market value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repossess mid-life commercial aircraft and engines (“Flight Equipment”) when a lessee defaults;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significant government regulation and may need to incur significant expenses to comply with new or more stringent government regulation;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 of skilled personnel or work stoppages;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obtain certain components and raw materials from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highly competitive nature of the markets we operate in;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international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liens of Flight Equipment could exceed the value of such Flight Equipment;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unique risks we encounter by supplying equipment and services to the U.S. government;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could be negatively impacted by cyber or other security threats or disruptions;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extensive environmental requirements with which we must comply;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significant capital expenditures that may be required to keep pace with technological developments in our industry.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Background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Securities Exchange Act of 1934, as amended (the “Exchange Act”).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will continue as a wholly owned subsidiary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mission is to provide full-service support to owners and operators of used commercial aircraft who lack the infrastructure and/or expertise to cost effectively maintain such aircraft during the second half of their operating life through their retirement from service. By providing a one-stop shop that integrates multiple service and product offerings, we save our customers time and money, while providing value to our shareholders through our operating efficiency. We were founded in 2008 by Nicolas Finazzo and Robert B. Nichols as a platform to serve the aviation aftermarket. In early 2010, we partnered with private equity firm Leonard Green &amp; Partners, L.P. to scale our business and finance the creation of a purpose built and fully integrated aviation company. Since our founding, we have established a global footprint.</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31F20"/>
        </w:rPr>
        <w:t>Our business is comprised of two reporting segments: Asset Management Solutions and TechOps, which, taken together, provide comprehensive support to owners and operators of used commercial aircraft.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b w:val="1"/>
          <w:bCs w:val="1"/>
          <w:i w:val="1"/>
          <w:iCs w:val="1"/>
          <w:color w:val="231F20"/>
        </w:rPr>
        <w:t>Asset Management Solutions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231F20"/>
        </w:rPr>
        <w:t>Our Asset Management Solutions segment, which represented 47% of our revenue during the fiscal year ended December 31, 2020, and 73% of our revenue during the fiscal year ended December 31, 2019, acquires mid-life commercial aircraft and engines (“Flight Equipment”) from airlines and leasing companies as feedstock to support our business activities. Asset Management Solutions activities include the sale and lease of aircraft and engines, as well as the disassembly of these assets for component parts (used serviceable material, “USM”) that can be utilized to support third-party sales and lower the cost to maintain our portfolio of leased assets. Our aircraft and engines generally provide highly customized full-service, short-term lease support, where an operator is provided with a turn-key piece of Flight Equipment that can meet customer’s specific needs. Our business model provides an alternative to the supply of new aircraft, engines and parts traditionally sold by original equipment manufacturers (“OEMs”), or delivered new and leased by pure-play aircraft and engine leasing companies. Because we have created the infrastructure to market through alternative channels, we are able to maximize financial returns on Flight Equipment by cost-effectively placing such assets in the secondary market for the balance of their operating life, and upon retirement from service, extracting their greatest residual value by disassembling Flight Equipment assets to the piece-part level for re-use as USM. We do this by utilizing our integrated business units to maximize the sum of each asset’s alternative revenue streams, ranging from their sale or lease as whole operating assets, down to utilizing their collective individual components to serve as USM feedstock or to lower our leasing and maintenance, repair and overhaul (“MRO”) operating costs. We also offer our integrated Asset Management Solutions services to third-party clients who lack the expertise and/or infrastructure to optimize their Flight Equipment investments. We lease engines and airframes primarily as a means of extracting value from the remaining operating life of an asset prior to disassembly for USM parts. We focus primarily on highly customized aircraft leases or short-term engine leasing where we can demand a lease premium; and utilize our USM and MRO capabilities to fully meet all maintenance needs, which allow us to fully monetize collected maintenance reserves. After disassembly, we utilize the pieces as low-cost spare parts feedstock to support our various other business segments, including USM part sales, and in conjunction with our third-party maintenance operations. Consequently, the vast majority of aircraft and engines that we have acquired have ultimately been disassembled for their USM parts once the full value of their remaining operating life has been extracted.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TechOps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Our TechOps segment, which represented 53% of our revenue during the fiscal year ended December 31, 2020, and 27% of our revenue during the fiscal year ended December 31, 2019, provides nose-to-tail maintenance, repair and overhaul (“MRO”) services on the most popular commercial aircraft, engines and components, that serve the passenger, cargo, and government sectors. Through our collective U.S.-based MRO facilities, we provide extensive maintenance and modification services for aircraft and their individual components. Our aircraft facilities located in Goodyear, AZ, and Roswell, NM, feature 650,000 square feet of hangar space, from which we provide high-quality airframe MRO services, structural modification, conversions, and flight system upgrades, including disassembly and re-cycling operations for retiring aircraft. We additionally offer convenient long-term storage capacity for up to 650 aircraft in ideal dry-desert conditions.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At the individual component level, our facilities located in Miami, FL, Rio Rancho, NM, and Memphis, TN, collectively offer specialized component MRO capabilities and services covering; hydraulics, composites, pneumatics, fuel systems, electro-mechanical assemblies, interiors, painting, flight controls, nacelles, and landing gear for passenger, cargo and military aircraft applications.</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31F20"/>
        </w:rPr>
        <w:t>Our TechOps segment leverages its robust engineering team to provide highly specialized technical support to our MRO facilities, as well as developing advanced technical repairs, modifications and products, which we market under the tradename “Engineered Solutions.” This business unit includes the design, manufacture, and installation of new products, systems, and services that can enhance aircraft performance, safety, and service life at lower costs than traditionally expensive OEM products and services. Engineered Solutions also serves to lower the cost of Flight Equipment ownership with savings on MRO-related expenses, including compliance with mandatory and market-driven equipment upgrades. These cost-saving solutions are approved by the Federal Aviation Administration (“FAA”) under a Supplemental Type Certificates (“STCs”), which provides us with the unique ability to perform these modifications. We use our FAA-approved Parts Manufacturing Authority (“PMA”) to integrate third party components in developing our STC solutions. We have also obtained approval from various foreign regulatory authorities to validate our STCs and PMA products for use by operators outside of the United States.</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648"/>
        <w:spacing w:after="0" w:line="259" w:lineRule="auto"/>
        <w:rPr>
          <w:sz w:val="20"/>
          <w:szCs w:val="20"/>
          <w:color w:val="auto"/>
        </w:rPr>
      </w:pPr>
      <w:r>
        <w:rPr>
          <w:rFonts w:ascii="Arial" w:cs="Arial" w:eastAsia="Arial" w:hAnsi="Arial"/>
          <w:sz w:val="18"/>
          <w:szCs w:val="18"/>
          <w:color w:val="231F20"/>
        </w:rPr>
        <w:t>One example of our Engineered Solutions is our AerSafe ® product line. We designed and received FAA approval to market AerSafe ® as a solution for compliance with an FAA mandate to mitigate aircraft fuel tank flammability on Boeing and Airbus aircraft. AerSafe ® has also been approved for installation on certain aircraft models that are regulated by the European Aviation Safety Agency (“EASA”) and the National Civil Aviation Agency of Brazil.</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Competitive Strengths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Our competitive strengths are focused on institutionalized processes to drive profitability by maximizing Flight Equipment values across the second half of their life-cycle. We believe our data-driven approach, highly attuned staff, proprietary analytical tools, and formalized decision-making processes give us a unique platform to drive value within the aviation aftermarket.</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231F20"/>
        </w:rPr>
        <w:t>Our ability to provide cost saving alternatives to support our customers across the entire range of Flight Equipment, from whole aircraft to our individual component parts level, is critical to our ability to drive value and profitability. By offering a comprehensive suite of products and services, we are able to enjoy a competitive edge in the marketplace as a “one-stop” source for full mid-life aircraft, engine and USM spare parts support, bundled with comprehensive MRO solutions. This integration of services facilitates significant cross-selling opportunities among our various business units, as many of our customers depend on the products and services provided by both our Asset Management Solutions and TechOps business segments. In totality, the breadth of these capabilities allows us to optimally service our customers’ needs, providing them increased fleet flexibility while reducing fleet downtime. Similarly, these capabilities lower the cost of ownership of our own Flight Equipment. At the same time, our participation in upstream aircraft and engine transactions also provides valuable market insights regarding operating fleet trends that feed our key downstream supply and demand modeling inputs, informing our MRO and USM parts investment decisions.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As a consistent source of aftermarket USM parts, we provide our customers a safe and widely-accepted low-cost alternative to purchasing new OEM replacement parts. Our ability to cost-efficiently source USM parts through aftermarket Flight Equipment acquisitions and lease portfolio retirements enables us to profitably monetize aircraft and engines that otherwise would have limited economic benefit as an operating whole asset. We are additionally able to leverage our component MRO capabilities to extend the serviceable life of many USM components and systems. Consequently, our ability to increase our USM return to service yield reduces our associated return to service expenses and serves to drive incremental margin on USM part sales, while also lowering the cost of replacement parts required to maintain our portfolio aircraft and engines.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We have a competitive advantage over most of our MRO competitors of being one of the select aviation aftermarket companies that has the necessary technical and operational resources to hold FAA “unlimited” repair station ratings for both our airframe and component MRO operations. These comprehensive FAA ratings are no longer granted; however, our unlimited ratings were “grandfathered” in among our longstanding MRO subsidiary companies. This enables us to fast track the implementation of certain new MRO capabilities through an established FAA approved ‘self-certification’ procedure, while avoiding the typically longer approval lead-times associated with standard FAA repair station capability certification. Consequently, we believe our ability to efficiently innovate and bring to market new proprietary repairs and modifications for both aircraft and their components meaningfully enhances our responsiveness to the evolving needs of our customers, while also giving us the flexibility to pursue a significantly wider range of market growth opportunities.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Growth Strategies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We intend to pursue opportunities that are well aligned with our existing capabilities and which will continue to differentiate our business.</w:t>
      </w:r>
    </w:p>
    <w:p>
      <w:pPr>
        <w:spacing w:after="0" w:line="225" w:lineRule="exact"/>
        <w:rPr>
          <w:sz w:val="20"/>
          <w:szCs w:val="20"/>
          <w:color w:val="auto"/>
        </w:rPr>
      </w:pPr>
    </w:p>
    <w:p>
      <w:pPr>
        <w:jc w:val="both"/>
        <w:ind w:left="660" w:right="20" w:hanging="4"/>
        <w:spacing w:after="0" w:line="259" w:lineRule="auto"/>
        <w:tabs>
          <w:tab w:leader="none" w:pos="781" w:val="left"/>
        </w:tabs>
        <w:numPr>
          <w:ilvl w:val="0"/>
          <w:numId w:val="4"/>
        </w:numPr>
        <w:rPr>
          <w:rFonts w:ascii="Arial" w:cs="Arial" w:eastAsia="Arial" w:hAnsi="Arial"/>
          <w:sz w:val="18"/>
          <w:szCs w:val="18"/>
          <w:color w:val="231F20"/>
        </w:rPr>
      </w:pPr>
      <w:r>
        <w:rPr>
          <w:rFonts w:ascii="Arial" w:cs="Arial" w:eastAsia="Arial" w:hAnsi="Arial"/>
          <w:sz w:val="18"/>
          <w:szCs w:val="18"/>
          <w:i w:val="1"/>
          <w:iCs w:val="1"/>
          <w:color w:val="231F20"/>
        </w:rPr>
        <w:t xml:space="preserve">Broaden MRO Capabilities. </w:t>
      </w:r>
      <w:r>
        <w:rPr>
          <w:rFonts w:ascii="Arial" w:cs="Arial" w:eastAsia="Arial" w:hAnsi="Arial"/>
          <w:sz w:val="18"/>
          <w:szCs w:val="18"/>
          <w:color w:val="231F20"/>
        </w:rPr>
        <w:t>We will utilize our FAA “unlimited” repair station licenses to develop new capabilities, while augmenting brand</w:t>
      </w:r>
      <w:r>
        <w:rPr>
          <w:rFonts w:ascii="Arial" w:cs="Arial" w:eastAsia="Arial" w:hAnsi="Arial"/>
          <w:sz w:val="18"/>
          <w:szCs w:val="18"/>
          <w:i w:val="1"/>
          <w:iCs w:val="1"/>
          <w:color w:val="231F20"/>
        </w:rPr>
        <w:t xml:space="preserve"> </w:t>
      </w:r>
      <w:r>
        <w:rPr>
          <w:rFonts w:ascii="Arial" w:cs="Arial" w:eastAsia="Arial" w:hAnsi="Arial"/>
          <w:sz w:val="18"/>
          <w:szCs w:val="18"/>
          <w:color w:val="231F20"/>
        </w:rPr>
        <w:t>loyalty with a growing range of MRO services to support our customers’ needs. The MRO segment is accretive to our Asset Management Solutions business and provides incremental opportunities to supplement our MRO customers with Flight Equipment and USM spare parts once we have established an initial MRO service relationship.</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left="660" w:hanging="4"/>
        <w:spacing w:after="0" w:line="257" w:lineRule="auto"/>
        <w:tabs>
          <w:tab w:leader="none" w:pos="768" w:val="left"/>
        </w:tabs>
        <w:numPr>
          <w:ilvl w:val="0"/>
          <w:numId w:val="5"/>
        </w:numPr>
        <w:rPr>
          <w:rFonts w:ascii="Arial" w:cs="Arial" w:eastAsia="Arial" w:hAnsi="Arial"/>
          <w:sz w:val="18"/>
          <w:szCs w:val="18"/>
          <w:color w:val="231F20"/>
        </w:rPr>
      </w:pPr>
      <w:r>
        <w:rPr>
          <w:rFonts w:ascii="Arial" w:cs="Arial" w:eastAsia="Arial" w:hAnsi="Arial"/>
          <w:sz w:val="18"/>
          <w:szCs w:val="18"/>
          <w:i w:val="1"/>
          <w:iCs w:val="1"/>
          <w:color w:val="231F20"/>
        </w:rPr>
        <w:t xml:space="preserve">Expand Our Government Presence. </w:t>
      </w:r>
      <w:r>
        <w:rPr>
          <w:rFonts w:ascii="Arial" w:cs="Arial" w:eastAsia="Arial" w:hAnsi="Arial"/>
          <w:sz w:val="18"/>
          <w:szCs w:val="18"/>
          <w:color w:val="231F20"/>
        </w:rPr>
        <w:t>Many of the commercial aircraft and engines for which we provide products and services have equivalent or</w:t>
      </w:r>
      <w:r>
        <w:rPr>
          <w:rFonts w:ascii="Arial" w:cs="Arial" w:eastAsia="Arial" w:hAnsi="Arial"/>
          <w:sz w:val="18"/>
          <w:szCs w:val="18"/>
          <w:i w:val="1"/>
          <w:iCs w:val="1"/>
          <w:color w:val="231F20"/>
        </w:rPr>
        <w:t xml:space="preserve"> </w:t>
      </w:r>
      <w:r>
        <w:rPr>
          <w:rFonts w:ascii="Arial" w:cs="Arial" w:eastAsia="Arial" w:hAnsi="Arial"/>
          <w:sz w:val="18"/>
          <w:szCs w:val="18"/>
          <w:color w:val="231F20"/>
        </w:rPr>
        <w:t>derivative aircraft and engine platforms that are used by various branches of the military and civilian government agencies. As government funding is stable and uncorrelated with the commercial aviation cycle, we view this as an important growth market. We intend to increasingly focus on capturing additional USM parts sales in addition to MRO service opportunities, directly with these government customers, or through subcontracting arrangements with government contractors.</w:t>
      </w:r>
    </w:p>
    <w:p>
      <w:pPr>
        <w:spacing w:after="0" w:line="187" w:lineRule="exact"/>
        <w:rPr>
          <w:rFonts w:ascii="Arial" w:cs="Arial" w:eastAsia="Arial" w:hAnsi="Arial"/>
          <w:sz w:val="18"/>
          <w:szCs w:val="18"/>
          <w:color w:val="231F20"/>
        </w:rPr>
      </w:pPr>
    </w:p>
    <w:p>
      <w:pPr>
        <w:jc w:val="both"/>
        <w:ind w:left="660" w:hanging="4"/>
        <w:spacing w:after="0" w:line="254" w:lineRule="auto"/>
        <w:tabs>
          <w:tab w:leader="none" w:pos="768" w:val="left"/>
        </w:tabs>
        <w:numPr>
          <w:ilvl w:val="0"/>
          <w:numId w:val="5"/>
        </w:numPr>
        <w:rPr>
          <w:rFonts w:ascii="Arial" w:cs="Arial" w:eastAsia="Arial" w:hAnsi="Arial"/>
          <w:sz w:val="18"/>
          <w:szCs w:val="18"/>
          <w:color w:val="231F20"/>
        </w:rPr>
      </w:pPr>
      <w:r>
        <w:rPr>
          <w:rFonts w:ascii="Arial" w:cs="Arial" w:eastAsia="Arial" w:hAnsi="Arial"/>
          <w:sz w:val="18"/>
          <w:szCs w:val="18"/>
          <w:i w:val="1"/>
          <w:iCs w:val="1"/>
          <w:color w:val="231F20"/>
        </w:rPr>
        <w:t>Introduce New Engineered Solutions</w:t>
      </w:r>
      <w:r>
        <w:rPr>
          <w:rFonts w:ascii="Arial" w:cs="Arial" w:eastAsia="Arial" w:hAnsi="Arial"/>
          <w:sz w:val="18"/>
          <w:szCs w:val="18"/>
          <w:color w:val="231F20"/>
        </w:rPr>
        <w:t>. Our Engineered Solutions offerings provide a critical value-add for customers through the introduction of</w:t>
      </w:r>
      <w:r>
        <w:rPr>
          <w:rFonts w:ascii="Arial" w:cs="Arial" w:eastAsia="Arial" w:hAnsi="Arial"/>
          <w:sz w:val="18"/>
          <w:szCs w:val="18"/>
          <w:i w:val="1"/>
          <w:iCs w:val="1"/>
          <w:color w:val="231F20"/>
        </w:rPr>
        <w:t xml:space="preserve"> </w:t>
      </w:r>
      <w:r>
        <w:rPr>
          <w:rFonts w:ascii="Arial" w:cs="Arial" w:eastAsia="Arial" w:hAnsi="Arial"/>
          <w:sz w:val="18"/>
          <w:szCs w:val="18"/>
          <w:color w:val="231F20"/>
        </w:rPr>
        <w:t>proprietary alternative products, repairs and modifications which we develop to enhance aircraft performance, reliability, safety, regulatory compliance, service life and cost-of-ownership economics. The breadth of services and capabilities that we provide our extensive customer base promotes our early identification and development of new solutions to address their evolving needs. We will continue to invest in new Engineered Solutions that create value for our customers and are accretive to the expansion and profitability of our MRO operations. We believe that we are well positioned to develop and market these solutions given our deep knowledge of maintenance intensive mid-life aircraft, our broad range of engineering and MRO capabilities, and our extended market reach as a global provider of Flight Equipment sales, leasing, MRO and USM parts sales.</w:t>
      </w:r>
    </w:p>
    <w:p>
      <w:pPr>
        <w:spacing w:after="0" w:line="191" w:lineRule="exact"/>
        <w:rPr>
          <w:rFonts w:ascii="Arial" w:cs="Arial" w:eastAsia="Arial" w:hAnsi="Arial"/>
          <w:sz w:val="18"/>
          <w:szCs w:val="18"/>
          <w:color w:val="231F20"/>
        </w:rPr>
      </w:pPr>
    </w:p>
    <w:p>
      <w:pPr>
        <w:jc w:val="both"/>
        <w:ind w:left="660" w:hanging="4"/>
        <w:spacing w:after="0" w:line="279" w:lineRule="auto"/>
        <w:tabs>
          <w:tab w:leader="none" w:pos="768" w:val="left"/>
        </w:tabs>
        <w:numPr>
          <w:ilvl w:val="0"/>
          <w:numId w:val="5"/>
        </w:numPr>
        <w:rPr>
          <w:rFonts w:ascii="Arial" w:cs="Arial" w:eastAsia="Arial" w:hAnsi="Arial"/>
          <w:sz w:val="17"/>
          <w:szCs w:val="17"/>
          <w:color w:val="231F20"/>
        </w:rPr>
      </w:pPr>
      <w:r>
        <w:rPr>
          <w:rFonts w:ascii="Arial" w:cs="Arial" w:eastAsia="Arial" w:hAnsi="Arial"/>
          <w:sz w:val="17"/>
          <w:szCs w:val="17"/>
          <w:i w:val="1"/>
          <w:iCs w:val="1"/>
          <w:color w:val="231F20"/>
        </w:rPr>
        <w:t>Expand Our Geographical Footprint</w:t>
      </w:r>
      <w:r>
        <w:rPr>
          <w:rFonts w:ascii="Arial" w:cs="Arial" w:eastAsia="Arial" w:hAnsi="Arial"/>
          <w:sz w:val="17"/>
          <w:szCs w:val="17"/>
          <w:color w:val="231F20"/>
        </w:rPr>
        <w:t>. We believe the growth in the international aviation sector represents a compelling opportunity to leverage</w:t>
      </w:r>
      <w:r>
        <w:rPr>
          <w:rFonts w:ascii="Arial" w:cs="Arial" w:eastAsia="Arial" w:hAnsi="Arial"/>
          <w:sz w:val="17"/>
          <w:szCs w:val="17"/>
          <w:i w:val="1"/>
          <w:iCs w:val="1"/>
          <w:color w:val="231F20"/>
        </w:rPr>
        <w:t xml:space="preserve"> </w:t>
      </w:r>
      <w:r>
        <w:rPr>
          <w:rFonts w:ascii="Arial" w:cs="Arial" w:eastAsia="Arial" w:hAnsi="Arial"/>
          <w:sz w:val="17"/>
          <w:szCs w:val="17"/>
          <w:color w:val="231F20"/>
        </w:rPr>
        <w:t>our existing capabilities to serve a broader set of foreign aircraft owners, operators, OEMs and MRO customers. As international fleets continue to grow in size and age in both established and emerging markets, we expect to play an increasing role in supplying Flight Equipment spares, MRO support, and USM parts to burgeoning markets that currently lack a mature infrastructure to meet this demand.</w:t>
      </w:r>
    </w:p>
    <w:p>
      <w:pPr>
        <w:spacing w:after="0" w:line="171" w:lineRule="exact"/>
        <w:rPr>
          <w:rFonts w:ascii="Arial" w:cs="Arial" w:eastAsia="Arial" w:hAnsi="Arial"/>
          <w:sz w:val="17"/>
          <w:szCs w:val="17"/>
          <w:color w:val="231F20"/>
        </w:rPr>
      </w:pPr>
    </w:p>
    <w:p>
      <w:pPr>
        <w:jc w:val="both"/>
        <w:ind w:left="660" w:hanging="4"/>
        <w:spacing w:after="0" w:line="254" w:lineRule="auto"/>
        <w:tabs>
          <w:tab w:leader="none" w:pos="768" w:val="left"/>
        </w:tabs>
        <w:numPr>
          <w:ilvl w:val="0"/>
          <w:numId w:val="5"/>
        </w:numPr>
        <w:rPr>
          <w:rFonts w:ascii="Arial" w:cs="Arial" w:eastAsia="Arial" w:hAnsi="Arial"/>
          <w:sz w:val="18"/>
          <w:szCs w:val="18"/>
          <w:color w:val="231F20"/>
        </w:rPr>
      </w:pPr>
      <w:r>
        <w:rPr>
          <w:rFonts w:ascii="Arial" w:cs="Arial" w:eastAsia="Arial" w:hAnsi="Arial"/>
          <w:sz w:val="18"/>
          <w:szCs w:val="18"/>
          <w:i w:val="1"/>
          <w:iCs w:val="1"/>
          <w:color w:val="231F20"/>
        </w:rPr>
        <w:t>Pursue Strategic Acquisitions</w:t>
      </w:r>
      <w:r>
        <w:rPr>
          <w:rFonts w:ascii="Arial" w:cs="Arial" w:eastAsia="Arial" w:hAnsi="Arial"/>
          <w:sz w:val="18"/>
          <w:szCs w:val="18"/>
          <w:color w:val="231F20"/>
        </w:rPr>
        <w:t>. Our business has grown organically and through acquisitions since our founding. We have a proven track record</w:t>
      </w:r>
      <w:r>
        <w:rPr>
          <w:rFonts w:ascii="Arial" w:cs="Arial" w:eastAsia="Arial" w:hAnsi="Arial"/>
          <w:sz w:val="18"/>
          <w:szCs w:val="18"/>
          <w:i w:val="1"/>
          <w:iCs w:val="1"/>
          <w:color w:val="231F20"/>
        </w:rPr>
        <w:t xml:space="preserve"> </w:t>
      </w:r>
      <w:r>
        <w:rPr>
          <w:rFonts w:ascii="Arial" w:cs="Arial" w:eastAsia="Arial" w:hAnsi="Arial"/>
          <w:sz w:val="18"/>
          <w:szCs w:val="18"/>
          <w:color w:val="231F20"/>
        </w:rPr>
        <w:t>of successfully expanding our capabilities through acquisitions, including our acquisition of Great Southwest Aviation (now our Roswell Maintenance Facility) in 2010, Aero Mechanical Industries (now known as AerSale Landing Gear Solutions) in 2015, Goodyear Maintenance Facility in 2017, Avborne Accessory Group (now known as Avborne Component Solutions) in 2018, Qwest Air Parts in 2019, and Aircraft Composite Technologies in 2020. We will continue to evaluate opportunities to acquire businesses that meet our financial return profile and execute on these transactions where there is an opportunity to enhance our value proposition by integrating the operations of such businesses into our existing offerings of products and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Customers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231F20"/>
        </w:rPr>
        <w:t>We sell to more than 1,000 customers worldwide. Non-U.S. customers accounted for 56% of our total revenue for 2020. Our principal customers are comprised of domestic and foreign passenger airlines, cargo operators and governmental agencies. We also sell our products and services to a broad range of companies that provide aftermarket Flight Equipment support services, including OEMs, MROs, financial sponsors and leasing companies.</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231F20"/>
        </w:rPr>
        <w:t>We believe that the breadth of our MRO capabilities and supporting services create a compelling customer care and value proposition that fosters brand loyalty, and significantly contributes to the recurring nature of our business. In the year ended December 31, 2020, five of our top 10 customers by revenue had been customers for five years or more, and 52 of our top 100 customers by revenue utilized more than one of our service offerings.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231F20"/>
        </w:rPr>
        <w:t>We primarily use the US Dollar as our functional currency in all markets in which we operate in order to reduce our foreign currency market risk.</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231F20"/>
        </w:rPr>
        <w:t>Sales and Marketing</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231F20"/>
        </w:rPr>
        <w:t>We employ a sales force of 30 individuals. We utilize a matrixed marketing approach, where our individual business segments dedicate resources to market directly to their respective customer audience, while our regional sales specialists co-market our combined product and service offerings to clients within their territories. Given the technical nature of our business, business unit-specific technical staff frequently participate in marketing presentations and campaign developments in support of marketing initiatives spanning the sale, lease and MRO of aircraft, engines and their components.</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We primarily market and sell our products and services through our direct sales force. On occasion, we utilize contract services to assist in specific client-targeted sales efforts. In addition, we utilize foreign representation in certain regional markets outside of the United States. We augment our direct customer marketing efforts with industry event sponsorships, conference participation, press release broadcast, web site promotion and social media initiatives, in addition to trade publication announcements, advertising and periodic article contributions.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Research and Development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We embrace a customer centric approach to supporting our clients with new value-add products and services designed to enhance Flight Equipment performance, lower the cost of maintenance, improve reliability and extend service life, while reducing the associated cost-of-ownership. Key initiatives to support our customers’ reduced cost of ownership include reduced down-time, lower cost USM alternatives, Flight Equipment lease versus own options, innovative aircraft modification and upgrade services, and propriety component repair regimes.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Because our customers utilize our entire range of services, from whole aircraft MRO through individual component MRO, we frequently receive valuable insights as to evolving customer needs and desires. These inputs are regularly provided to our senior managers and technical personnel to identify and quantify opportunities for developing new products and services. Where the business case warrants, our engineers and technicians are tasked to develop, test and introduce new Engineered Solutions, including proprietary repairs not identified in existing repair manuals, and STCs for new products designed to provide value to our customers.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Our ability to bring new Engineered Solutions to market is made possible through our in-depth knowledge of the requirements promulgated by respective airworthiness regulatory agencies like the FAA, in addition to non-mandatory recommendations issued by OEMs. The engineering and regulatory authority certification process varies widely by product application and region, and we look to contract with third-party manufacturers and/or channel partners on an as-needed basis to assist in obtaining certain regulatory agency approvals.</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231F20"/>
        </w:rPr>
        <w:t>We believe that our “unlimited” airframe and component FAA repair station certifications, PMA authority, and deep technical expertise position us to efficiently identify and implement new Engineered Solutions and proprietary component repairs, that is an important differentiator of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Competition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The aviation aftermarket is highly competitive with many participants, including Flight Equipment OEMs, MROs, airlines, aircraft and engine leasing companies, financial sponsors, USM sales organizations, and other independent manufactures and service providers. The vast majority of participants compete within smaller subsets of our broader products and services offerings. Frequently, our competitors specialize in one or a limited number of areas within the following segments: aircraft MRO, engine MRO, Engineered Solutions, aircraft leasing, engine leasing, USM part sales, and asset management. Further, many component MROs specialize in a small subset of repairs related to specific components or materials, such as composites, pneumatics, hydraulics, electronics, landing gear, wheels and brakes, and auxiliary power units.</w:t>
      </w:r>
    </w:p>
    <w:p>
      <w:pPr>
        <w:spacing w:after="0" w:line="17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231F20"/>
        </w:rPr>
        <w:t>Consumers of aftermarket Flight Equipment products and services typically make buying decisions based on a variety of factors including quality, pricing, availability, provider reputation, technical specification, prior operating history, turnaround time, geographic location and financial terms.</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231F20"/>
        </w:rPr>
        <w:t>Our Asset Management Solutions segment competitors include AAR Corp., VAS Aero Services, LLC, GA Telesis, LLC, Kellstrom Aerospace, Heico Corporation and Aerfin Ltd., while competitors to our TechOps segment include AAR Corp., Aviation Technical Services, Inc., HAECO Americas, MRO Holdings, Inc., ST Engineering North America, TransDigm Group, MTU Aero Engines, Woodward, Inc., and Lufthansa Technik AG. Though our product and service offerings include certain aircraft and engine leasing activities, we do not view large pure-play aircraft and engine leasing companies as core competitors, as those companies are primarily centered around cost of capital and financial securitization products, and frequently choose to divest mid-life assets as they lack the technical and mechanical capabilities to deal with assets that have exited the OEM warranty periods.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72" w:lineRule="auto"/>
        <w:rPr>
          <w:sz w:val="20"/>
          <w:szCs w:val="20"/>
          <w:color w:val="auto"/>
        </w:rPr>
      </w:pPr>
      <w:r>
        <w:rPr>
          <w:rFonts w:ascii="Arial" w:cs="Arial" w:eastAsia="Arial" w:hAnsi="Arial"/>
          <w:sz w:val="17"/>
          <w:szCs w:val="17"/>
          <w:color w:val="231F20"/>
        </w:rPr>
        <w:t>Certain of our competitors have substantially greater marketing, financial, technical and infrastructure resources than we do, and may additionally provide complementary sales and services capabilities that we do not currently offer. As a result, certain of our competitors may be able to deliver a broader range of aftermarket Flight Equipment products and services at more attractive pricing. As such, we choose to target services and products where our synergic capabilities provide us a competitive advantage and allow us to be more responsive to the evolving needs of mid-life aircraft owners, operators, MROs and financial sponsors. We believe that the market insights, technical capabilities and financial expertise that we bring together through our Asset Management Solutions and TechOps offerings are particularly well suited to meet the comprehensive needs of mid-life Flight Equipment customers, with a fuller range of value-added products and services than most of our competitors.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Government Regulation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231F20"/>
        </w:rPr>
        <w:t>The FAA regulates the manufacture, repair and operation of all aircraft, including engines, components and parts, operated in the United States, to ensure that all aircraft and aviation equipment are continuously maintained in proper condition for safe operation. Similar rules and regulatory authorities exist in other countries. The inspection, maintenance and repair procedures for the various types of aircraft and equipment are prescribed by these regulatory authorities and can be performed only by certified repair facilities utilizing certified technicians. Certification and conformance are required prior to installation of Flight Equipment components, including aircraft release into operating service. We operate four FAA/EASA certified repair stations, in addition to holding various other international airworthiness authority approvals, which are repair station facility specific. Our repair station facilities are required by the FAA to hold pertinent certification approvals for the products and MRO services that we provide for our customers, and we are required to adhere to all relevant FAA rules and regulations as a condition to maintaining those certifications.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231F20"/>
        </w:rPr>
        <w:t>Certain of our Engineered Solutions include products that are authorized by the FAA through issuance of Supplemental Type Certificate approval for their respective application. Others involve proprietary repairs that we develop internally in compliance with authorities granted by the FAA under our “unlimited” repair station licensing for applicable airframe and engine component categories. We facilitate the production of certain of our Engineered Solutions through the manufacture of new parts in accordance with our FAA approved PMA certifications, as well as the manufacture of certain new replacement parts under our FAA repair station authorities. We also employ FAA certified personnel called Designated Airworthiness Representatives and Designated Engineering Representatives, to facilitate our MRO operations through the development and regulatory approval of specialized airframe and component designs, repairs, modifications, and installations. We rely on these FAA approvals to market our Engineered Solutions to third parties, as well as to utilize them on our own Flight Equipment. We believe the depth of technical and operational qualifications required to attain these FAA regulatory approvals constitute a significant barrier for competitors looking to compete with our Engineered Solutions offerings.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The FAA requires that aircraft operators maintain detailed records that log the utilization and condition of certain aircraft and engine life-limited parts. The FAA also requires that various maintenance routines be performed and documented on certain airframe and engine components at regular intervals based on utilization and/or time. Maintenance may also be required following certain types of events (e.g. foreign object damage, extreme heat, hard landings, etc.). Further, the FAA and certain other airworthiness authorities can at any time introduce new rules and regulations that may impact our business. In order to proactively mitigate the effects of prospective future rulings and amendments, as well as to position our business segments to potentially benefit from them, we diligently monitor FAA publications and industry trade groups in an effort to obtain as much advance notice as possible concerning future regulatory mandates.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As we pursue sales of products and services directly to the U.S. government or through its contractors, we may also be subject to various laws and regulations governing pricing and other factors. Historically, government regulations have had no material adverse effect on our business and results of operations.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231F20"/>
        </w:rPr>
        <w:t>Intellectual Property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We believe our brand recognition is an important differentiator, and we maintain trademarks on “AerSale”, and on certain branded product offerings (i.e. AerSafe ® active through 2031, AerTrak ® active through 2024, and AerAware ™).</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While we hold no patents, we significantly benefit from an extensive array of proprietary intellectual property pertaining to market intelligence, transactional data history, and price modelling techniques, in addition to a wide range of product design, engineering, manufacturing, repair, modification and MRO procedures.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231F20"/>
        </w:rPr>
        <w:t>Our Engineered Solutions are trade secrets comprised of internally developed proprietary products and repair regimes. As such, our Engineered Solutions are exclusively available through our business or third parties that we authorize. While our competitors may be able to develop similar alternatives to our Engineered Solutions offerings, we believe that our deep understanding of mid-life aircraft markets and technologies, combined with our ability to expedite the introduction of new Engineered Solutions to the market, uniquely positions us to increase our market share in this sector.</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231F20"/>
        </w:rPr>
        <w:t>Though our proprietary market intelligence, transactional data history, price modelling techniques, and Engineered Solutions expertise are subject to misappropriation or obsolescence, we believe we have adequately institutionalized systems and procedures to prevent such occurrences. These measures include adoption of continuous improvement methodologies developed to maintain the integrity of our intellectual property holdings, in addition to the innovation of new techniques, products and processes designed to enhance our existing offerings in response to future market developments.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Human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As of January 2, 2021, we employed 470 full-time employees worldwide, none of which are subject to a collective bargaining agreement. About 97% of our employees are based in the United States. In addition to our full-time employees, we also employ approximately 440 contract workers, the majority of whom are located at our airframe maintenance facilities. We use contract labor workers to provide flexible staffing to the airframe maintenance service line.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success is highly dependent upon our ability to maintain a workforce with the skills necessary for our businesses to succeed. We require highly skilled personnel in multiple areas, including engineering, project management, aircraft technicians, information technology, cybersecurity, business development and strategy, and management.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order to attract and retain highly skilled employees, we are committed to ensuring a safe and healthy work environment, offering competitive compensation and comprehensive benefit programs, creating great career opportunities, and building an engaging, inclusive environment where all employees are treated with dignity and respect.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Safety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established safety and awareness programs in each AerSale facility. To maintain and enhance the safety of our employees, we promote a culture of continuous improvement and individual accountability. Each AerSale MRO facility has developed an Environmental Policy and Procedures Manual in compliance with applicable federal, state, and local environmental laws and regulations.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an annual goal setting process to drive injury rate improvements, and our injury rate reduction goal is a performance metric that is reported to all of our employees.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311" w:lineRule="auto"/>
        <w:rPr>
          <w:sz w:val="20"/>
          <w:szCs w:val="20"/>
          <w:color w:val="auto"/>
        </w:rPr>
      </w:pPr>
      <w:r>
        <w:rPr>
          <w:rFonts w:ascii="Arial" w:cs="Arial" w:eastAsia="Arial" w:hAnsi="Arial"/>
          <w:sz w:val="16"/>
          <w:szCs w:val="16"/>
          <w:color w:val="auto"/>
        </w:rPr>
        <w:t>The safety of our employees has been a priority throughout the COVID-19 pandemic. Our facility response teams, formed early in the pandemic, implement processes and procedures to ensure compliance with applicable government-imposed health and safety-related operating restrictions, enhance the safety of our facilities, protect the health of our employees, and monitor trends in infection rates at locations where we have facilities.</w:t>
      </w:r>
    </w:p>
    <w:p>
      <w:pPr>
        <w:spacing w:after="0" w:line="14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continue to enforce COVID-19 health and safety protocols and have implemented protocols to address actual and suspected cases of COVID-19 affecting our employees and comply with contact tracing and quarantine requirements. Throughout the pandemic, we have been communicating regularly with our employees and screening and monitoring their well-being with safety checks at each facility upon arrival.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Management and Career Development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AerSale, our talent management &amp; career development programs prepare our employees for a rewarding and challenging experience. We want to ensure that each of our employees has the tools they need to succeed in their current role, while preparing them for the next step in their career. Management and Leadership curriculums are tailored based on each facility’s unique needs as well as the individuals’ needs. Our employees are encouraged to take advantage of our tuition reimbursement program to obtain professional and technical certifications or toward degree programs related to their career track. Our annual talent and performance review allows AerSale’s management team to identify emerging talent in the organization and develop a succession plan. By evaluating our workforce and needs, we are able to provide opportunities for growth and professional fulfillment.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proud Equal Opportunity Employer. For over a decade, we have created employment opportunities in diverse communities. We believe that diversity is key to our success and we foster a culture of inclusion. By creating an environment where employees feel embraced and appreciated, we believe that our employees will be motivated to excel and contribute to our continued success. We are confident that in leveraging our employee’s differences we can innovate and remain competitive in a dynamic and demanding industry.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 firm commitment to diversity and inclusion in our recruiting, hiring and promotion practices. Minority and female employees are encouraged to participate in career days, job fairs and programs in the communities in which we do business. We actively engage in recruiting fairs and efforts at various training institutions, especially those that have high minority and diverse enrollment rates. We conduct an annual assessment of diversity efforts to measure progress toward established goals. Every manager and leader is responsible for upholding these values and supporting the goals under our affirmative action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Environmental Matters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231F20"/>
        </w:rPr>
        <w:t>Our business, operations and facilities are subject to numerous stringent federal, state and local environmental laws and regulation by government agencies, including the Environmental Protection Agency. Among other matters, these regulatory authorities impose requirements that regulate the emission, discharge, generation, management, transportation and disposal of hazardous materials, pollutants and contaminants, govern public and private response actions to hazardous or regulated substances which may be or have been released to the environment, and require us to obtain and maintain licenses and permits in connection with our operations. This extensive regulatory framework imposes significant compliance burdens and risks on us. Although management believes that our operations and our facilities are in material compliance with such laws and regulations, due to future changes in these laws, regulations or interpretations thereof, or the nature of our operations, or regulatory enforcement actions which may arise, we may be required to make significant additional capital expenditures to ensure ongoing compliance and/or engage in remedial actions.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Certain of our facilities, including facilities acquired and operated by us or one of our subsidiaries, have at one time or another been under active investigation for environmental contamination by federal or state agencies. We are frequently indemnified by prior owners or operators and/or present owners of the facilities for liabilities which we incur as a result of these investigations and the environmental contamination found which pre-dates our acquisition of these facilities, subject to certain limitations. For our Goodyear, AZ facility, we also maintain an environmental impairment liability policy that provides coverage for certain liabilities associated with the clean-up of on-site and off-site pollution conditions, as well as for resulting bodily injury or property damage to third-parties, in each case, to the extent not otherwise indemnified. If we are required to pay the expenses related to environmental liabilities because neither indemnification nor insurance coverage is available, these expenses could have an adverse effect on our business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Our internet website address is www.aersale.com. In addition to the information about us and our subsidiaries contained in this Annual Report on Form 10-K, information about us can be found on our website. Our website and information included in or linked to our website are not part of this Annual Report on Form 10-K.</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Our annual reports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 or SEC. Additionally, the SEC maintains an internet site that contains reports, proxy and information statements and other information. The address of the SEC’s website is www.sec.gov.</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You should carefully consider the risks and uncertainties described below and the other information in the Annual Report on Form 10-K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Annual Report on Form 10-K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those set forth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AerSale’s Business and Industry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231F20"/>
        </w:rPr>
        <w:t>The coronavirus pandemic has had a material adverse impact on our business, operating results, financial condition, and liquidity, and the duration and extent of the pandemic could prolong or increase the adverse impact.</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231F20"/>
        </w:rPr>
        <w:t>The COVID-19 pandemic has caused significant volatility in financial and other markets, which has raised the prospect of an extended global recession. The commercial aviation industry, including our operations, has been particularly and adversely impacted by the COVID-19 pandemic. Public health problems resulting from COVID-19 and precautionary measures instituted by governments and businesses to mitigate its spread, including travel restrictions, quarantines, shelter in place directives, and shutting down of non-essential businesses has and continues to contribute to a general slowdown in the global economy, and if it continues for an extended period of time, it could have a material adverse impact to the businesses of our customers, suppliers and distribution partners, and disrupt our operations. Changes in our operations in response to the COVID-19 pandemic or employee illnesses resulting from the pandemic, may result in inefficiencies or delays, including in sales and product development efforts and our manufacturing and supply chain, and additional costs related to business continuity initiatives, that cannot be fully mitigated through succession planning, employees working remotely, or teleconferencing technologies. The spread of COVID-19 along with related travel restrictions and operational issues has caused a decrease in the demand for air travel and has resulted in lower demand from civil aviation customers for our products. Passenger airline traffic has declined significantly since March 2020, and the decrease had a material negative impact on the financial results for the year ended December 31, 2020. We expect to continue to see reduced demand in our non-cargo commercial businesses. Moreover, if the COVID-19 pandemic continues to result in decreased worldwide commercial activity, it could eventually adversely affect the demand for airline cargo services. Reduced numbers of aircraft flying or flight hours negatively impacts the demand for many of our products and services, and any prolonged reduction could materially and adversely affect our business, operating results, financial condition, and liquidity.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in the long-term.</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7" w:lineRule="auto"/>
        <w:rPr>
          <w:sz w:val="20"/>
          <w:szCs w:val="20"/>
          <w:color w:val="auto"/>
        </w:rPr>
      </w:pPr>
      <w:r>
        <w:rPr>
          <w:rFonts w:ascii="Arial" w:cs="Arial" w:eastAsia="Arial" w:hAnsi="Arial"/>
          <w:sz w:val="18"/>
          <w:szCs w:val="18"/>
          <w:color w:val="231F20"/>
        </w:rPr>
        <w:t>In addition, we source parts and components for our business from various suppliers around the world. Disruptions to our supply chain and business operations, or to our suppliers’ or customers’ supply chains and business operations, could have adverse effects on our ability to provide aftermarket support and services. Moreover, a prolonged epidemic or pandemic, or the threat thereof, could result in worker absences, lower productivity, voluntary closure of our offices and facilities, travel restrictions for our employees and other disruptions to our business. Any of these could have a material adverse effect on our business, financial condition or results of operations.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We have taken a number of actions in response to the decreased demand for certain products and services as a result of COVID-19, including reducing operating expenditures by eliminating certain contractor positions and reducing all non-essential spending. Certain of our facilities have experienced temporary disruptions as a result of the COVID-19 pandemic, and we cannot predict whether any of our facilities will experience more significant disruptions in the future.</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also taken steps to improve our liquidity, including seeking financial assistance under the Coronavirus Aid, Relief, and Economic Security Act (“CARES Act”). Certain of our subsidiaries have received $16.4 million from the U.S. Treasury Department (“Treasury”) through the Payroll Support Program (“PSP1”) under the CARES Act, of which $12.7 million was received prior to December 31, 2020 and the remaining amount was received during the first quarter of 2021. As part of the Payroll Support Extension Law (“PSP Extension Law”), we entered into a new agreement with the U.S. Department of the Treasury (“PSP2”) on March 4, 2021 for the receipt of relief funds of $5.5 million. In connection with the financial assistance we have received under the Payroll Support Program, we are required to comply with certain provisions of the CARES Act, including the requirement that funds provided pursuant to the Payroll Support Program be used exclusively for the continuation of payment of employee wages, salaries and benefits; the requirement against involuntary terminations and furloughs and reductions in employee pay rates and benefits from the signing date of the Payroll Support Program agreement through March 31, 2021. The agreement requires us to issue a recall to any employee who was terminated or furloughed between October 1, 2020 and March 4, 2021 and enable such employee to return to employment. In addition, we are subject to provisions prohibiting the repurchase of common stock and the payment of common stock dividends through March 31, 2022, as well as limitations on the payment of certain employee compensation through October 1, 2022. These restrictions may affect our operations and if we do not comply with these provisions, we may be required to reimburse up to 100% any previously received relief funds. In particular, limitations on compensation may adversely impact our ability to attract and retain senior management or attract other key employees during this critical time.</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231F20"/>
        </w:rPr>
        <w:t>In addition, we cannot predict the impact that COVID-19 will have on our customers, suppliers, vendors, and other business partners, and each of their financial conditions; however, any material effect on these parties could adversely impact us. The impact of COVID-19 may also exacerbate other risks discussed in this “Risk Factors” section, any of which could have a material effect on us.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We are affected by factors that adversely impact the commercial aviation industry.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31F20"/>
        </w:rPr>
        <w:t>As a provider of products and services to the commercial aviation industry, we are generally affected by overall economic conditions of that industry. The commercial aviation industry is historically cyclical and has been negatively affected in the past by geopolitical events, high fuel and oil prices, lack of capital, and weak economic conditions. As a result of these and other events, from time to time certain of our customers have filed for bankruptcy protection or ceased operation. The impact of instability in the global financial markets has led, and may in the future lead, airlines to reduce domestic or international capacity. In addition, certain of our airline customers have in the past been impacted by tight credit markets, which limited their ability to buy parts, services, and Flight Equipment.</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A reduction in flight activity of aircraft both in the United States and abroad has resulted in, and may continue to result in, reduced demand for parts support and maintenance activities for the type of aircraft affected. Further, tight credit conditions negatively impact the amount of liquidity available to buy parts, services, and Flight Equipment. A deteriorating airline environment may also result in additional airline bankruptcies, and in such circumstances we may not be able to fully collect outstanding accounts receivable. Reduced demand from customers caused by weak economic conditions, including tight credit conditions and customer bankruptcies, may adversely impact our financial condition or results of operations. A slowdown in the global economy, or a return to a recession, would negatively impact the commercial aviation industry, and may adversely impact our financial condition or results of operations.</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79" w:lineRule="auto"/>
        <w:rPr>
          <w:sz w:val="20"/>
          <w:szCs w:val="20"/>
          <w:color w:val="auto"/>
        </w:rPr>
      </w:pPr>
      <w:r>
        <w:rPr>
          <w:rFonts w:ascii="Arial" w:cs="Arial" w:eastAsia="Arial" w:hAnsi="Arial"/>
          <w:sz w:val="17"/>
          <w:szCs w:val="17"/>
          <w:color w:val="231F20"/>
        </w:rPr>
        <w:t>Our ability to profitably manage mid-life Flight Equipment through the end of its life-cycles depends in part on our ability to successfully source acquisition opportunities of used Flight Equipment on favorable terms to provide feedstock for the sale of USM parts. Our inability to acquire Flight Equipment could adversely affect our financial condition or results of operations. Our business, financial condition, results of operations, and growth rates may be adversely affected by these and other events that impact the aviation industry, including the following:</w:t>
      </w:r>
    </w:p>
    <w:p>
      <w:pPr>
        <w:spacing w:after="0" w:line="171"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deterioration in the financial condition of our existing and potential customers;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reductions in demand for used Flight Equipment;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in-house maintenance by airlines;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lack of new and/or USM parts in the marketplace;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acts of terrorism;</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outbreaks of infectious diseases such as the novel coronavirus;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acts of God.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231F20"/>
        </w:rPr>
        <w:t>Our operating results vary, and comparisons to results for preceding periods may not be meaningful. Due to a number of factors our operating results may fluctuate, including for the following reasons:</w:t>
      </w:r>
    </w:p>
    <w:p>
      <w:pPr>
        <w:spacing w:after="0" w:line="170"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COVID-19 pandemic;</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number of purchases and sales of Flight Equipment;</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amount of maintenance reserve revenues recorded resulting from the termination of long term leases, for which significant amounts of maintenance reserves may have accumulated;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termination, or announced termination of production, of particular types of Flight Equipment;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retirement or announced retirement of particular aircraft models by aircraft operators;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seasonality of travel;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operating history of any particular engine, aircraft or engine or aircraft model;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necessary overhauls of Flight Equipment.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72" w:lineRule="auto"/>
        <w:rPr>
          <w:sz w:val="20"/>
          <w:szCs w:val="20"/>
          <w:color w:val="auto"/>
        </w:rPr>
      </w:pPr>
      <w:r>
        <w:rPr>
          <w:rFonts w:ascii="Arial" w:cs="Arial" w:eastAsia="Arial" w:hAnsi="Arial"/>
          <w:sz w:val="17"/>
          <w:szCs w:val="17"/>
          <w:color w:val="231F20"/>
        </w:rPr>
        <w:t>These risks may reduce our Flight Equipment utilization rates, lease margins, maintenance reserve revenues and proceeds from Flight Equipment sales, and result in higher legal, technical, maintenance, storage, insurance and other costs related to repossession and Flight Equipment being off-lease. As a result of the foregoing and other factors, the availability of Flight Equipment for lease or sale periodically experiences cycles of oversupply and undersupply of given engine or aircraft models. The incidence of an oversupply of Flight Equipment may produce substantial decreases in lease rates and the appraised or resale value of aviation equipment and may increase the time spent and costs incurred to lease or sell Flight Equipment. We anticipate that fluctuations from period to period will continue in the future. As a result, we believe that comparisons to results for preceding periods may not be meaningful, and that results of prior periods should not be relied upon as an indication of our future performance.</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231F20"/>
        </w:rPr>
        <w:t>Market values for our aviation products fluctuate, and we may be unable to recover our costs incurred with respect to engines, rotable components and other aircraft parts.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231F20"/>
        </w:rPr>
        <w:t>We make a number of assumptions when determining the recoverability of rotable components, engines, and other assets which are on lease, available for lease, or supporting our long-term programs. These assumptions include historical sales trends, current and expected usage trends, replacement values, current and expected lease rates, maintenance expenses, residual values, future demand, and future cash flows. Reductions in demand for these assets or declining market values, as well as differences between actual results and the assumptions we utilize in determining the recoverability of our Flight Equipment could result in impairment charges in future periods, which may adversely impact our financial condition or results of operations.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The value of any given aircraft model, or any engine model applicable thereto, can vary significantly based on supply in the market place. Certain types of Flight Equipment may be used in significant numbers by commercial aircraft operators that experience financial difficulties from time to time. If such operators were to go into liquidation or similar proceedings, the resulting over-supply of Flight Equipment from these operators could have an adverse effect on the demand for the affected engine and aircraft types and the values of such Flight Equipment, which may adversely impact our financial condition or results of operations.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231F20"/>
        </w:rPr>
        <w:t>We may not be able to repossess Flight Equipment when a lessee defaults, and even if we are able to repossess the Flight Equipment from a defaulting lessee, we may have to expend significant resources in the repossession of such Flight Equipment and the subsequent remarketing and re-leasing of the repossessed Flight Equipment.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231F20"/>
        </w:rPr>
        <w:t>When a lessee defaults on its obligations under a lease and does not cure such default in a timely manner, we typically seek to terminate the applicable lease and repossess the leased Flight Equipment. If a defaulting lessee contests the termination and repossession or is under court protection, enforcement of our rights under the lease may be difficult, expensive and time-consuming. In the event the Flight Equipment is located outside of the United States, we may need to obtain governmental consents to export the Flight Equipment back to the United States. As a result, the relevant asset may be off-lease and not generating revenue for a prolonged period. In addition, we will incur direct costs associated with repossessing our Flight Equipment, which may include legal and similar costs, costs of transporting, storing and insuring the Flight Equipment, and costs associated with necessary maintenance and recordkeeping to make the Flight Equipment available for re-lease or sale. During this time, we will not realize revenue from the Flight Equipment being repossessed and will continue to be obligated to pay any debt financing related to the Flight Equipment. If an engine is installed on an airframe, the airframe may be owned by an aircraft lessor or other third party. Our ability to recover engines installed on airframes owned by third-parties may depend on the cooperation of the airframe owner.</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Additionally, when a lessee of our Flight Equipment protection under the U.S. Bankruptcy Code, creditors (including us) are automatically stayed from enforcing their rights. In the case of U.S.-certificated airlines, Section 1110 of the Bankruptcy Code provides certain relief to lessors of aircraft equipment. Section 1110 has been the subject of significant litigation, and we can give no assurance that Section 1110 will protect our investment in Flight Equipment in the event of a lessee’s bankruptcy. In addition, Section 1110 does not apply to lessees located outside of the United States, and applicable foreign laws may not provide comparable protection to us.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231F20"/>
        </w:rPr>
        <w:t>We are subject to significant government regulation and may need to incur significant expenses to comply with new or more stringent governmental regulation.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The aviation industry is highly regulated in the United States by the FAA and equivalent regulatory agencies in other countries. Prior to being placed into service the products and services that we provide for aircraft, engines and their components are required to meet certain standards of airworthiness established by the FAA or the equivalent regulatory agencies in certain other countries. We also operate repair stations that are licensed by the FAA and the equivalent regulatory agencies in certain other countries. Specific regulations vary from country to country; although regulatory requirements in other countries are generally satisfied by compliance with FAA requirements. New and more stringent governmental regulations may be adopted in the future that, if enacted, may adversely impact our financial condition or results of operations.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color w:val="231F20"/>
        </w:rPr>
        <w:t>Any revocation or suspension of our material licenses, certificates, authorizations, or approvals by the FAA or equivalent regulatory agencies in other countries, may adversely impact our financial condition or results of operations.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Users of Flight Equipment are regulated by general civil aviation authorities, including the FAA in the United States and similar governmental authorities in other countries, which regulate the maintenance of engines and issue airworthiness directives. Airworthiness directives typically set forth special maintenance actions or modifications with respect to certain engine and aircraft types or series of specific engines that must be implemented for the engine or aircraft to remain in service. Also, airworthiness directives may require the lessee to make more frequent inspections of an engine, aircraft or particular engine parts. Generally, the lessee of our Flight Equipment is responsible for complying with all airworthiness directives. However, if the Flight Equipment is off-lease and in certain circumstances, if dictated by the terms of a Flight Equipment lease, we may be forced to bear the cost of compliance with such airworthiness directives.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A number of our leases require specific governmental or regulatory licenses, consents or approvals. These include consents for certain payments under the leases and for the export, import or re-export of our Flight Equipment. Consents needed in connection with future leasing or sale of our Flight Equipment may not be received timely or have economically feasible terms. Any of these events could adversely affect our ability to lease or sell Flight Equipment, which, in turn, may adversely impact our financial condition or results of operations.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The U.S. Department of Commerce (the “Commerce Department”) regulates exports of goods outside the United States. We are subject to the Commerce Department’s and the U.S. Department of State’s regulations with respect to the lease and sale of aircraft, engines, engine parts and components, and airframes and accessory parts and components to foreign entities. The Commerce Department and the U.S. Department of State may, in certain cases, require us to obtain export licenses for certain items exported to foreign countries. The U.S. Department of Homeland Security, through the U.S. Customs and Border Protection, enforces regulations related to the import of aircraft, engines, engine parts and components, and airframe and accessory parts and components into the United States. We must expend resources to comply with these regulations and our failure to comply with these regulations may subject us to regulatory actions, which may adversely impact our financial condition or results of operations.</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231F20"/>
        </w:rPr>
        <w:t>We are prohibited from doing business with persons designated by the U.S. Department of the Treasury’s Office of Foreign Assets Control (“OFAC”) on its “Specially Designated Nationals List,” and must monitor our operations and existing and potential lessees and other counterparties for compliance with OFAC’s rules. Similarly, sanctions issued by the United Nations, the United States government, the European Union or other governments could prohibit or restrict us from doing business in certain countries, or with certain customers or persons, and we must monitor our operations and existing and potential customers and other counterparties for compliance with such sanctions. We must expend resources to comply with these regulations and our failure to comply with these regulations may subject us to regulatory actions, which may adversely impact our financial condition or results of operations.</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We are also subject to a variety of other regulations including work-related and community safety laws. The Occupational Safety and Health Act of 1970 mandates general requirements for safe workplaces for all employees, and established the Occupational Safety and Health Administration (“OSHA”) in the Department of Labor. In particular, OSHA provides special procedures and measures for the handling of certain hazardous and toxic substances. In addition, specific safety standards have been promulgated for workplaces engaged in the treatment, disposal or storage of hazardous waste. Requirements under state law, in certain circumstances, may mandate additional measures for facilities handling materials specified as extremely dangerous. We believe that our operations are in material compliance with OSHA’s health and safety requirements.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i w:val="1"/>
          <w:iCs w:val="1"/>
          <w:color w:val="231F20"/>
        </w:rPr>
        <w:t>Success at our MRO facilities is dependent upon continued outsourcing by the airlines.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We currently perform MRO activities at six leased locations. Revenues at these facilities fluctuate based on demand for maintenance which, in turn, is driven by the number of aircraft operating and the extent of outsourcing of maintenance activities by airlines. In addition, certain airlines operate new fleet types and/or newer generation aircraft and we may not have contractual arrangements to service these aircraft, nor technicians trained and certified to perform the required airframe maintenance, repair, and overhaul activities on such aircraft. If either the number of aircraft operating or the level of outsourcing of maintenance activities for the aircraft models for which we are authorized to service declines, we may not be able to execute our operational and financial plans at our MRO facilities, which may adversely impact our financial condition or results of operations.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Our operations would be adversely affected by a shortage of skilled personnel or work stoppages.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We are dependent on an educated and highly skilled workforce because of the complex nature of many of our products and services. Our ability to operate successfully and meet our customers’ demands could be jeopardized if we are unable to attract and retain a sufficient number of skilled personnel, including qualified licensed mechanics, to conduct our business, or if we experience a significant or prolonged work stoppage. These and similar events may adversely affect our results of operations and financial condition.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The inability to obtain certain components and raw materials from suppliers could harm our business.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231F20"/>
        </w:rPr>
        <w:t>Our business is affected by the availability and price of the raw materials and component parts that we use to manufacture our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labor disputes, governmental actions and legislative or regulatory changes. As a result, our suppliers may fail to perform according to specifications when required, and we may be unable to identify alternate suppliers or to otherwise mitigate the consequences of their non-performance. Transitions to new suppliers may result in significant costs and delays, including those related to the required recertification of parts obtained from new suppliers with our customers and/or regulatory agencies. Our inability to fill our supply needs could jeopardize our ability to fulfill obligations under customer contracts, which could result in reduced revenues and profits, contract penalties or terminations, and damage to customer relationships. Further, increased costs of such raw materials or components could reduce our profits if we were unable to pass along such price increases on to our customers.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We operate in highly competitive markets, and competitive pressures may adversely affect us.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markets for our products and services are highly competitive, and we face competition from a number of sources, both domestic and international. Our competitors include aircraft manufacturers, aircraft component and parts manufacturers, airline and aircraft service companies, other companies MRO services, other aircraft spare parts distributors and redistributors. Certain of our competitors may have substantially greater financial and other resources than we have and others may price their products and services below our selling prices. These competitive markets also create pressure on our ability to hire and retain qualified technicians and other skilled labor needs. We believe that our ability to compete depends on superior customer service and support, on-time delivery, sufficient inventory availability, competitive pricing, and effective quality assurance programs. These competitive pressures have a potential impact on our business, which may adversely affect our results of operations and financial condition.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We are exposed to risks associated with operating internationally.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We conduct business in a number of foreign countries, certain of which are politically unstable or subject to military or civil conflicts.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Consequently, we are subject to a variety of risks that are specific to international operations, including the following:</w:t>
      </w:r>
    </w:p>
    <w:p>
      <w:pPr>
        <w:spacing w:after="0" w:line="211"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military conflicts, civil strife, and political risks;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export regulations that could erode profit margins or restrict exports;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the United Kingdom Bribery Act 2010, and other anti-bribery and anticorruption laws;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burden and cost of compliance with foreign laws, treaties, and technical standards and changes in those regulations;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 award and funding delays;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restrictions on transfers of funds;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 and export duties and value added taxes;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exchange risk;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arising from foreign local business practices and cultural considerations; and</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United States policies on trade relations and trade policy, including implementation of or changes in trade sanctions, tariffs, and embargoes.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231F20"/>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 These developments, or the perception that any related developments could occur, have had and may continue to have a material adverse effect on global economic conditions and financial markets, and could significantly reduce global market liquidity, restrict the ability of key market participants to operate in certain financial markets, increase restrictions on imports and exports between the United Kingdom and other countries and increase regulatory complexities. Asset valuations, currency exchange rates and credit ratings have been and may continue to be subject to increased market volatility. Lack of clarity about future United Kingdom laws and regulations as the United Kingdom determines which European Union laws to replace or replicate, including with respect to trade relations could depress economic activity and restrict our access to capital.</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31F20"/>
        </w:rPr>
        <w:t>Measures that we have or will adopt to reduce the potential impact of losses resulting from the risks of doing business internationally may not be adequate, and the regions in which we operate might not continue to be stable enough to allow us to operate profitably or at all.</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231F20"/>
        </w:rPr>
        <w:t>Liens on our Flight Equipment could exceed the value of such Flight Equipment, which could negatively affect our ability to repossess, lease or sell such Flight Equipment.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231F20"/>
        </w:rPr>
        <w:t>Liens in favor of third parties may be attached to Flight Equipment we own, and in certain cases our engines may also be installed on airframes to which liens in favor of third-parties unrelated to the engines have been attached. These liens may secure substantial sums that may in certain circumstances exceed the value of the particular Flight Equipment to which the liens have attached. In certain jurisdictions, a lien may give the lien holder the right to detain, in limited cases, sell or cause the forfeiture of the Flight Equipment subject to the lien. Liens held by third parties may have priority over our and our creditors’ interest in respective AerSale Flight Equipment, either because the third-party liens have priority under applicable local law, or because our creditors’ security interests are not filed in jurisdictions outside the United States. These liens and lien holders could impair our ability to repossess and re-lease, or sell our Flight Equipment. If our customers do not discharge these liens, we may find it necessary to pay the claims secured by such liens to repossess the Flight Equipment subject to such third-party liens.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b w:val="1"/>
          <w:bCs w:val="1"/>
          <w:i w:val="1"/>
          <w:iCs w:val="1"/>
          <w:color w:val="231F20"/>
        </w:rPr>
        <w:t>In certain countries, an engine affixed to an aircraft may become an accession to the aircraft and we may not be able to exercise our ownership rights over the engine.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In certain jurisdictions, leased engine affixed to an aircraft may become an accession to the aircraft, such that the ownership rights of the owner of the aircraft supersede the ownership rights of the owner of the engine. If an aircraft is security for the owner’s obligations to a third-party, the security interest in the aircraft may supersede our rights as owner of the engine. This legal principle could limit our ability to repossess leased engine in the event of a lessee’s bankruptcy or lease default while the aircraft with the engine installed remains in such a jurisdiction. We may suffer a loss if we are not able to repossess engines leased to lessees in these jurisdictions.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231F20"/>
        </w:rPr>
        <w:t>Business acquisitions expose us to risks, including the risk that we may be unable to effectively integrate acquired businesses.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31F20"/>
        </w:rPr>
        <w:t>We have completed multiple acquisitions over the past few years, and have discussions with third parties regarding acquisitions on a regular basis. Acquisitions involve risks, including difficulties in integrating the operations and personnel, the effects of amortization of any acquired intangible assets and the potential impairment of goodwill, and the potential loss of key employees of the acquired business. In addition, acquisitions often require substantial management resources, and have the potential to divert our attention from our existing business. For any businesses we may acquire in the future, we may not be able to execute our operational, financial, or integration plans for the acquired businesses, which may adversely affect our results of operations and financial condition.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231F20"/>
        </w:rPr>
        <w:t>We are dependent upon continued availability of financing to manage our business and to execute our business strategy, and additional financing may not be available on terms acceptable to us.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231F20"/>
        </w:rPr>
        <w:t>Our ability to manage our business and to execute our business strategy is dependent, in part, on the continued availability of debt and equity capital. Access to the debt and equity capital markets may be limited by various factors, including the condition of overall credit markets, general economic factors, state of the aviation industry, our financial performance, and credit ratings. Debt and equity capital may not continue to be available to us on favorable terms, or at all. Our inability to obtain financing on favorable terms may adversely affect our results of operations and financial condition.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Our existing debt includes restrictive and financial covenants.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Certain current financing arrangements require us to comply with various restrictive covenants, and in certain cases contain financial covenants that require us to comply with specified financial ratios and tests. Our failure to meet these covenants could result in default under these loan and debt agreements, and may result in a cross-default under other debt agreements. In the event of a default and our inability to obtain a waiver of the default, all amounts outstanding under our debt agreements could be declared immediately due and payable. Our failure to comply with these covenants may adversely affect our results of operations and financial condition. In addition, our receipt of funds under the CARES Act requires us to comply with certain covenants. If we do not comply with these covenants, the government may require us to repay the support given to us.</w:t>
      </w:r>
    </w:p>
    <w:p>
      <w:pPr>
        <w:spacing w:after="0" w:line="3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231F20"/>
        </w:rPr>
        <w:t>Our industry is susceptible to product and other liability claims, and claims not adequately covered by insurance may adversely affect our results of operations and financial condition.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Our business exposes us to possible claims for property damage and bodily injury or death, which may result if an aircraft, engine, engine part or component, airframe part or accessory, or any other aviation product that we have sold, manufactured, or repaired fails, or if Flight Equipment we serviced or leased, or in which our products are installed, has an accident. We carry substantial liability insurance in amounts that we believe are adequate for our risk exposure, and commensurate with industry norms. However, claims may arise in the future, and our insurance coverage may not be adequate to protect us in all circumstances. Additionally, we might not be able to maintain adequate insurance coverage in the future at an acceptable cost. Any liability claim not covered by adequate insurance may adversely affect our results of operations and financial condition.</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342" w:lineRule="auto"/>
        <w:rPr>
          <w:sz w:val="20"/>
          <w:szCs w:val="20"/>
          <w:color w:val="auto"/>
        </w:rPr>
      </w:pPr>
      <w:r>
        <w:rPr>
          <w:rFonts w:ascii="Arial" w:cs="Arial" w:eastAsia="Arial" w:hAnsi="Arial"/>
          <w:sz w:val="16"/>
          <w:szCs w:val="16"/>
          <w:b w:val="1"/>
          <w:bCs w:val="1"/>
          <w:i w:val="1"/>
          <w:iCs w:val="1"/>
          <w:color w:val="231F20"/>
        </w:rPr>
        <w:t>We are subject to unique business risks as a result of supplying equipment and services to the U.S. government directly and as a subcontractor, which could lead to a reduction in our net sales from, or the profitability of our supply arrangements with, the U.S. government.</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Companies engaged in supplying defense-related equipment and services to U.S. government agencies are subject to business risks specific to the defense industry. We currently do, and may in the future, contract directly with the U.S. government or act as a subcontractor to customers contracting with the U.S. government. Accordingly, the U.S. government may unilaterally suspend or prohibit us from receiving new contracts pending resolution of alleged violations of procurement laws or regulations, revoke required security clearance, reduce the value of existing contracts, or audit our contract related costs and fees.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In addition, because we contract directly with the U.S. government or act as a subcontractor to customers contracting with the U.S. government, we may be subject to U.S. government inquiries and investigations, including periodic audits of costs that we determine are reimbursable under government contracts. U.S. government agencies routinely audit government contractors to review performance under contracts, cost structure and compliance with applicable laws, regulations, and standards, as well as the adequacy of and compliance with internal control systems and policies, including the contractor’s purchasing, property, estimating, compensation and management information systems. Any costs found to be misclassified or inaccurately allocated to a specific contract are not reimbursable, and to the extent already reimbursed, must be refunded. Also, any inadequacies in our systems and policies could result in payments being withheld, penalties and reduced future business, and may adversely affect our results of operations and financial condition.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Our business could be negatively affected by cyber or other security threats or other disruptions.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Our business depends heavily on information technology and computerized systems to communicate and operate effectively. Our systems and technologies, or those of third parties on which we rely, could fail or become unreliable due to equipment failures, software viruses, cyber threats, ransomware attacks, terrorist acts, natural disasters, power failures or other causes.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Cyber security threats are evolving and include, but are not limited to, malicious software, attempts to gain unauthorized access to our sensitive information, business e-mail compromises, ransomware attacks, and other electronic security breaches, including at our customers, suppliers, subcontractors, and joint venture partners, that could lead to disruptions in mission critical systems, unauthorized release of confidential or otherwise protected information, and corruption of data.</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The procedures and controls we utilize to monitor and mitigate these threats may not be sufficient to prevent security threats from materializing. If any of these events were to materialize, the costs related to cyber or other security threats or disruptions may not be fully insured or indemnified, and may adversely affect our results of operations and financial condition.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Moreover, expenditures incurred in implementing and maintaining cyber security and other procedures and controls may adversely affect our results of operations and financial condition.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231F20"/>
        </w:rPr>
        <w:t>We must comply with extensive environmental requirements, and any exposure to environmental liabilities may adversely affect us.</w:t>
      </w:r>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Compliance with federal, state, and local requirements relating to the discharge and emission of substances into the environment, the disposal of hazardous wastes, the remediation and abatement of contaminants, and other activities affecting the environment, have had and may continue to have an impact on our operations. Certain of our facilities, including facilities acquired and operated by us or one of our subsidiaries, have at one time or another been under active investigation for environmental contamination by federal or state agencies. We cannot assess the possible effect of compliance with future environmental requirements, or of future environmental claims for which we may not have adequate indemnification or insurance coverage. If we were required to pay the expenses related to any future environmental claims for which neither indemnification nor insurance coverage were available, these expenses may adversely affect our results of operations and financial condition.</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Future regulatory developments in the United States and abroad concerning environmental issues such as climate change could adversely affect our operations, and increase operating costs, and through their impact on our customers reduce demand for our products and services. Actions may be taken in the future by the U.S. government, state governments within the United States, foreign governments, or the International Civil Aviation Organization to regulate the emission of greenhouse gases by the aviation industry. The precise nature of any such requirements and their applicability to us and our customers are difficult to predict, but the impact to us and the aviation industry, including the potential for increased fuel costs, carbon taxes or fees, or a requirement to purchase carbon credits, may adversely affect our results of operations and financial condition.</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b w:val="1"/>
          <w:bCs w:val="1"/>
          <w:i w:val="1"/>
          <w:iCs w:val="1"/>
          <w:color w:val="231F20"/>
        </w:rPr>
        <w:t>We may need to make significant capital expenditures to keep pace with technological developments in our industry.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231F20"/>
        </w:rPr>
        <w:t>The industries in which we participate are constantly undergoing development and change, and it is likely that new products, equipment, and MRO methods will be introduced in the future. We may need to make significant expenditures to purchase new equipment, and to train our employees to keep pace with any new technological developments. These expenditures may adversely affect our results of operations and financial condition.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We do not own certain intellectual property and tooling that is important to our business.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In our MRO business, OEMs of equipment that we maintain for our customers include language in repair manuals relating to their equipment asserting broad claims of proprietary rights to the contents of the manuals used in our operations. Although we believe that our use of manufacture and repair manuals is lawful, there can be no assurance that OEMs will not try to enforce such claims, including through the possible use of legal proceedings, or that any such actions will be unsuccessful.</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Our business also depends on using certain intellectual property and tooling that we have rights to use pursuant to license grants under our contracts with OEM customers. These contracts contain restrictions on our use of the intellectual property and tooling, and may be terminated if we violate certain of these restrictions. Our loss of a contract with an OEM customer and the related license rights to use an OEM’s intellectual property or tooling, may adversely affect our results of operations and financial condition.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Our operations depend on our facilities, which are subject to physical and other risks that could disrupt production.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231F20"/>
        </w:rPr>
        <w:t>Our facilities or our customers’ facilities could be damaged or disrupted by a natural disaster, war, or terrorist activity. A major catastrophe, such as an earthquake, hurricane, fire, flood, tornado, pandemic, or other natural disaster at any of our sites, or war or terrorist activities in any of the areas where we conduct operations, could result in a prolonged interruption of our business. Any disruption resulting from these events could cause significant delays in shipments of products, and the loss of sales and customers, and we may not have insurance to adequately compensate us for any of these events. For leased facilities, timely renewal of leases, and risk mitigation from the sale of our leased facilities, is required to avoid any business interruption.</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231F20"/>
        </w:rPr>
        <w:t>Our reputation, ability to do business and financial position, results of operations and/or cash flows may be impacted by the improper conduct of employees, agents, subcontractors, suppliers, business partners or joint ventures in which we participate.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231F20"/>
        </w:rPr>
        <w:t>We have implemented policies, procedures, training and other compliance controls, and have negotiated terms designed to prevent misconduct by employees, agents or others working on our behalf or with us that would violate the applicable laws of the jurisdictions in which we operate, including laws governing improper payments to government officials, the protection of export controlled products and services, cost accounting and billing, competition and data privacy. However, we cannot ensure that it will prevent all such misconduct committed by our employees, agents, subcontractors, suppliers, business partners or others working on our behalf or with us, and this risk of improper conduct may increase as we expand globally. In the ordinary course of business we may form and/or become a member of joint ventures. We may be unable to prevent misconduct or other violations of applicable laws by these joint ventures (including their officers, directors and employees) or our partners. Improper actions by those with whom or through whom we do business (including our employees, agents, subcontractors, suppliers, business partners and joint ventures) could subject us to administrative, civil or criminal investigations and monetary and non-monetary penalties, including suspension and debarment, which may adversely affect our results of operations and financial condition.</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b w:val="1"/>
          <w:bCs w:val="1"/>
          <w:i w:val="1"/>
          <w:iCs w:val="1"/>
          <w:color w:val="231F20"/>
        </w:rPr>
        <w:t>We are subject to certain limitations on employee compensation pursuant to the CARES Act.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In connection with the financial assistance we have received and may in the future receive through the Payroll Support Program, and loan program under the CARES Act pursuant to the CARES Act, we are subject to the limitations on the payment of certain employee compensation through October 1, 2022. These restrictions will materially affect our operations, and we may not be successful in managing these impacts for the duration of the restrictions. In particular, limitations on compensation may adversely impact our ability to attract and retain senior management, or attract other key employees during this critical time.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Our business might suffer if we were to lose the services of certain key employees.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Our business operations depend upon our key employees, including our executive officers. Because our key employees have knowledge of our industry and customers, and would be difficult to replace, loss of any of these employees may adversely affect our results of operations and financial condition.</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231F20"/>
        </w:rPr>
        <w:t>If any of our customers were to become insolvent or experience substantial financial difficulties, our business, financial condition and results of operations may be adversely affected.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If any of the customers with whom we do business become insolvent or experiences substantial financial difficulties, we may be unable to timely collect amounts owed to us by such customers, and may not be able to sell the inventory we have purchased for such customers, which may adversely affect our results of operations and financial condition.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231F20"/>
        </w:rPr>
        <w:t>We could become involved in intellectual property litigation, which could have a material and adverse impact on our profitability.</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We and other companies in our industry possess certain proprietary rights relating to designs, engineering, manufacturing processes and MRO procedures. In the event that we believe that a third party is infringing upon our proprietary rights, we may bring an action to enforce such rights. In addition, third parties may claim infringement by us with respect to their proprietary rights and may initiate legal proceedings against us in the future. The expense and time of bringing an action to enforce such rights or defending against infringement claims can be significant, which may adversely affect our results of operations and financial condition.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Intellectual property litigation involves complex legal and factual questions which makes the outcome of any such proceedings subject to considerable uncertainty. Not only can such litigation divert management’s attention, but it can also expose us to damages and potential injunctive relief which, if granted, may preclude us from making, using or selling particular products or technology. The expense and time associated with such litigation may adversely affect our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 active, liquid trading market for our common stock may not continue.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231F20"/>
        </w:rPr>
        <w:t>It is possible that an active trading market for our common stock may not be sustained. If an active and liquid trading market does not continue, our stockholders may have difficulty selling any of our common stock. Among other things, in the absence of a liquid public trading market:</w:t>
      </w:r>
    </w:p>
    <w:p>
      <w:pPr>
        <w:spacing w:after="0" w:line="146"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not be able to liquidate your investment in shares of common stock;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you may not be able to resell your shares of common stock at or above the price attributed to them in the business combination;</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price of shares of common stock may experience significant price volatility;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may be less efficiency in carrying out your purchase and sale orders.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common stock, the price of our common stock could decline.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The trading market for our common stock will rely in part on the research and reports that industry or financial analysts publish about us or our business. If no or few analysts commence coverage of us, the trading price of our stock could be negatively affected. Even if we do obtain analyst coverage, if one or more of the analysts covering our business downgrade their evaluations of our stock, the price of our common stock could decline. If one or more of these analysts cease to cover our common stock, we could lose visibility in the market for our stock, which in turn could cause our common stock price to decline.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Substantial future sales of our common stock, or the perception in the public markets that these sales may occur, may depress our stock price.</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231F20"/>
        </w:rPr>
        <w:t>Sales of substantial amounts of our common stock in the public market, or the perception that these sales could occur, could adversely affect the price of our common stock and could impair our ability to raise capital through the sale of additional shares. Certain shares of our common stock are freely tradable without restriction under the Securities Act, except for any shares of our common stock that may be held or acquired by our directors, executive officers, and other affiliates, as that term is defined in the Securities Act, which are be restricted securities under the Securities Act. Restricted securities may not be sold in the public market unless the sale is registered under the Securities Act or an exemption from registration is available. Certain of our stockholders and members of our management have rights, subject to certain conditions, to require us to file registration statements covering shares of our common stock or to include shares in registration statements that we may file for ourselves or other stockholders. Any such sales, including sales of a substantial number of shares or the perception in the market that the holders of a large number of shares intend to sell shares, could reduce the market price of our common stock. We may also issue shares of our common stock or securities convertible into our common stock from time to time in connection with financings, acquisitions, investments, or otherwise. Any such issuance could result in ownership dilution to you as a stockholder and cause the trading price of our common stock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management has limited experience in operating a public company.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231F20"/>
        </w:rPr>
        <w:t>Our executive officers have limited experience in the management of a publicly traded company. Our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our growth.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will incur increased costs as a result of becoming a public company.</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231F20"/>
        </w:rPr>
        <w:t>As a public company, we have incurred and will continue to incur significant legal, accounting, insurance, and other expenses that we have not incurred as a private company, including costs associated with public company reporting requirements. We also have incurred and will incur costs associated with the Sarbanes-Oxley Act and related rules implemented by the SEC. The expenses incurred by public companies for reporting and corporate governance purposes generally have been increasing. We expect these rules and regulations to increase our legal and financial compliance costs and to make some activities more time-consuming and costly, although we are currently unable to estimate these costs with any degree of certainty. In estimating these costs, we took into account expenses related to insurance, legal, accounting, and compliance activities, as well as other expenses not currently incurred.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i w:val="1"/>
          <w:iCs w:val="1"/>
          <w:color w:val="231F20"/>
        </w:rPr>
        <w:t>Our business and financial results may be affected by various litigation and regulatory proceedings.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We are subject to litigation and regulatory proceedings in the normal course of business and could become subject to additional claims in the future. These proceedings have included, and in the future may include, matters involving personnel and employment issues, workers’ compensation, personal and property injury, disputes relating to acquisitions (including contingent consideration), governmental investigations and other proceedings. Some historical and current legal proceedings and future legal proceedings may purport to be brought as class actions on behalf of similarly situated parties including with respect to employment-related matters. We cannot be certain of the ultimate outcomes of any such claims, and resolution of these types of matters against us may result in significant fines, judgments or settlements, which, if uninsured, or if the fines, judgments and settlements exceed insured levels, could adversely affect our business or financial results.</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231F20"/>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Our principal executive office is in Miami, Florida. In addition to our headquarters, we have the following operating locations: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180" w:type="dxa"/>
            <w:vAlign w:val="bottom"/>
          </w:tcPr>
          <w:p>
            <w:pPr>
              <w:ind w:left="60"/>
              <w:spacing w:after="0"/>
              <w:rPr>
                <w:sz w:val="20"/>
                <w:szCs w:val="20"/>
                <w:color w:val="auto"/>
              </w:rPr>
            </w:pPr>
            <w:r>
              <w:rPr>
                <w:rFonts w:ascii="Arial" w:cs="Arial" w:eastAsia="Arial" w:hAnsi="Arial"/>
                <w:sz w:val="18"/>
                <w:szCs w:val="18"/>
                <w:i w:val="1"/>
                <w:iCs w:val="1"/>
                <w:color w:val="auto"/>
              </w:rPr>
              <w:t>Facility:</w:t>
            </w:r>
          </w:p>
        </w:tc>
        <w:tc>
          <w:tcPr>
            <w:tcW w:w="6420" w:type="dxa"/>
            <w:vAlign w:val="bottom"/>
          </w:tcPr>
          <w:p>
            <w:pPr>
              <w:ind w:left="160"/>
              <w:spacing w:after="0"/>
              <w:rPr>
                <w:sz w:val="20"/>
                <w:szCs w:val="20"/>
                <w:color w:val="auto"/>
              </w:rPr>
            </w:pPr>
            <w:r>
              <w:rPr>
                <w:rFonts w:ascii="Arial" w:cs="Arial" w:eastAsia="Arial" w:hAnsi="Arial"/>
                <w:sz w:val="18"/>
                <w:szCs w:val="18"/>
                <w:i w:val="1"/>
                <w:iCs w:val="1"/>
                <w:color w:val="auto"/>
              </w:rPr>
              <w:t>Primary Purpose:</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tcPr>
          <w:p>
            <w:pPr>
              <w:ind w:left="60"/>
              <w:spacing w:after="0"/>
              <w:rPr>
                <w:sz w:val="20"/>
                <w:szCs w:val="20"/>
                <w:color w:val="auto"/>
              </w:rPr>
            </w:pPr>
            <w:r>
              <w:rPr>
                <w:rFonts w:ascii="Arial" w:cs="Arial" w:eastAsia="Arial" w:hAnsi="Arial"/>
                <w:sz w:val="18"/>
                <w:szCs w:val="18"/>
                <w:color w:val="auto"/>
              </w:rPr>
              <w:t>Goodyear, AZ</w:t>
            </w:r>
          </w:p>
        </w:tc>
        <w:tc>
          <w:tcPr>
            <w:tcW w:w="6420" w:type="dxa"/>
            <w:vAlign w:val="bottom"/>
          </w:tcPr>
          <w:p>
            <w:pPr>
              <w:ind w:left="160"/>
              <w:spacing w:after="0"/>
              <w:rPr>
                <w:sz w:val="20"/>
                <w:szCs w:val="20"/>
                <w:color w:val="auto"/>
              </w:rPr>
            </w:pPr>
            <w:r>
              <w:rPr>
                <w:rFonts w:ascii="Arial" w:cs="Arial" w:eastAsia="Arial" w:hAnsi="Arial"/>
                <w:sz w:val="18"/>
                <w:szCs w:val="18"/>
                <w:color w:val="auto"/>
              </w:rPr>
              <w:t>Aircraft MRO, Storage, Modification and Disassembly</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tcPr>
          <w:p>
            <w:pPr>
              <w:ind w:left="60"/>
              <w:spacing w:after="0"/>
              <w:rPr>
                <w:sz w:val="20"/>
                <w:szCs w:val="20"/>
                <w:color w:val="auto"/>
              </w:rPr>
            </w:pPr>
            <w:r>
              <w:rPr>
                <w:rFonts w:ascii="Arial" w:cs="Arial" w:eastAsia="Arial" w:hAnsi="Arial"/>
                <w:sz w:val="18"/>
                <w:szCs w:val="18"/>
                <w:color w:val="auto"/>
              </w:rPr>
              <w:t>Roswell, NM</w:t>
            </w:r>
          </w:p>
        </w:tc>
        <w:tc>
          <w:tcPr>
            <w:tcW w:w="6420" w:type="dxa"/>
            <w:vAlign w:val="bottom"/>
          </w:tcPr>
          <w:p>
            <w:pPr>
              <w:ind w:left="160"/>
              <w:spacing w:after="0"/>
              <w:rPr>
                <w:sz w:val="20"/>
                <w:szCs w:val="20"/>
                <w:color w:val="auto"/>
              </w:rPr>
            </w:pPr>
            <w:r>
              <w:rPr>
                <w:rFonts w:ascii="Arial" w:cs="Arial" w:eastAsia="Arial" w:hAnsi="Arial"/>
                <w:sz w:val="18"/>
                <w:szCs w:val="18"/>
                <w:color w:val="auto"/>
              </w:rPr>
              <w:t>Aircraft MRO, Storage, Disassembly, and Distribution</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tcPr>
          <w:p>
            <w:pPr>
              <w:ind w:left="60"/>
              <w:spacing w:after="0"/>
              <w:rPr>
                <w:sz w:val="20"/>
                <w:szCs w:val="20"/>
                <w:color w:val="auto"/>
              </w:rPr>
            </w:pPr>
            <w:r>
              <w:rPr>
                <w:rFonts w:ascii="Arial" w:cs="Arial" w:eastAsia="Arial" w:hAnsi="Arial"/>
                <w:sz w:val="18"/>
                <w:szCs w:val="18"/>
                <w:color w:val="auto"/>
              </w:rPr>
              <w:t>Rio Rancho, NM</w:t>
            </w:r>
          </w:p>
        </w:tc>
        <w:tc>
          <w:tcPr>
            <w:tcW w:w="6420" w:type="dxa"/>
            <w:vAlign w:val="bottom"/>
          </w:tcPr>
          <w:p>
            <w:pPr>
              <w:ind w:left="160"/>
              <w:spacing w:after="0"/>
              <w:rPr>
                <w:sz w:val="20"/>
                <w:szCs w:val="20"/>
                <w:color w:val="auto"/>
              </w:rPr>
            </w:pPr>
            <w:r>
              <w:rPr>
                <w:rFonts w:ascii="Arial" w:cs="Arial" w:eastAsia="Arial" w:hAnsi="Arial"/>
                <w:sz w:val="18"/>
                <w:szCs w:val="18"/>
                <w:color w:val="auto"/>
              </w:rPr>
              <w:t>Landing Gear MRO</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tcPr>
          <w:p>
            <w:pPr>
              <w:ind w:left="60"/>
              <w:spacing w:after="0"/>
              <w:rPr>
                <w:sz w:val="20"/>
                <w:szCs w:val="20"/>
                <w:color w:val="auto"/>
              </w:rPr>
            </w:pPr>
            <w:r>
              <w:rPr>
                <w:rFonts w:ascii="Arial" w:cs="Arial" w:eastAsia="Arial" w:hAnsi="Arial"/>
                <w:sz w:val="18"/>
                <w:szCs w:val="18"/>
                <w:color w:val="auto"/>
              </w:rPr>
              <w:t>Miami, FL</w:t>
            </w:r>
          </w:p>
        </w:tc>
        <w:tc>
          <w:tcPr>
            <w:tcW w:w="6420" w:type="dxa"/>
            <w:vAlign w:val="bottom"/>
          </w:tcPr>
          <w:p>
            <w:pPr>
              <w:ind w:left="160"/>
              <w:spacing w:after="0"/>
              <w:rPr>
                <w:sz w:val="20"/>
                <w:szCs w:val="20"/>
                <w:color w:val="auto"/>
              </w:rPr>
            </w:pPr>
            <w:r>
              <w:rPr>
                <w:rFonts w:ascii="Arial" w:cs="Arial" w:eastAsia="Arial" w:hAnsi="Arial"/>
                <w:sz w:val="18"/>
                <w:szCs w:val="18"/>
                <w:color w:val="auto"/>
              </w:rPr>
              <w:t>Corporate Headquarters and Engineered Solutions Operations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tcPr>
          <w:p>
            <w:pPr>
              <w:ind w:left="60"/>
              <w:spacing w:after="0"/>
              <w:rPr>
                <w:sz w:val="20"/>
                <w:szCs w:val="20"/>
                <w:color w:val="auto"/>
              </w:rPr>
            </w:pPr>
            <w:r>
              <w:rPr>
                <w:rFonts w:ascii="Arial" w:cs="Arial" w:eastAsia="Arial" w:hAnsi="Arial"/>
                <w:sz w:val="18"/>
                <w:szCs w:val="18"/>
                <w:color w:val="auto"/>
              </w:rPr>
              <w:t>Miami, FL</w:t>
            </w:r>
          </w:p>
        </w:tc>
        <w:tc>
          <w:tcPr>
            <w:tcW w:w="6420" w:type="dxa"/>
            <w:vAlign w:val="bottom"/>
          </w:tcPr>
          <w:p>
            <w:pPr>
              <w:ind w:left="160"/>
              <w:spacing w:after="0"/>
              <w:rPr>
                <w:sz w:val="20"/>
                <w:szCs w:val="20"/>
                <w:color w:val="auto"/>
              </w:rPr>
            </w:pPr>
            <w:r>
              <w:rPr>
                <w:rFonts w:ascii="Arial" w:cs="Arial" w:eastAsia="Arial" w:hAnsi="Arial"/>
                <w:sz w:val="18"/>
                <w:szCs w:val="18"/>
                <w:color w:val="auto"/>
                <w:w w:val="91"/>
              </w:rPr>
              <w:t>Hydraulic, Pneumatic, Flight Control Surfaces, Electro-Mechanical Component MROs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tcPr>
          <w:p>
            <w:pPr>
              <w:ind w:left="60"/>
              <w:spacing w:after="0"/>
              <w:rPr>
                <w:sz w:val="20"/>
                <w:szCs w:val="20"/>
                <w:color w:val="auto"/>
              </w:rPr>
            </w:pPr>
            <w:r>
              <w:rPr>
                <w:rFonts w:ascii="Arial" w:cs="Arial" w:eastAsia="Arial" w:hAnsi="Arial"/>
                <w:sz w:val="18"/>
                <w:szCs w:val="18"/>
                <w:color w:val="auto"/>
              </w:rPr>
              <w:t>Memphis, TN</w:t>
            </w:r>
          </w:p>
        </w:tc>
        <w:tc>
          <w:tcPr>
            <w:tcW w:w="6420" w:type="dxa"/>
            <w:vAlign w:val="bottom"/>
          </w:tcPr>
          <w:p>
            <w:pPr>
              <w:ind w:left="160"/>
              <w:spacing w:after="0"/>
              <w:rPr>
                <w:sz w:val="20"/>
                <w:szCs w:val="20"/>
                <w:color w:val="auto"/>
              </w:rPr>
            </w:pPr>
            <w:r>
              <w:rPr>
                <w:rFonts w:ascii="Arial" w:cs="Arial" w:eastAsia="Arial" w:hAnsi="Arial"/>
                <w:sz w:val="18"/>
                <w:szCs w:val="18"/>
                <w:color w:val="auto"/>
              </w:rPr>
              <w:t>USM Sales, Distribution and Component MRO</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tcPr>
          <w:p>
            <w:pPr>
              <w:ind w:left="60"/>
              <w:spacing w:after="0"/>
              <w:rPr>
                <w:sz w:val="20"/>
                <w:szCs w:val="20"/>
                <w:color w:val="auto"/>
              </w:rPr>
            </w:pPr>
            <w:r>
              <w:rPr>
                <w:rFonts w:ascii="Arial" w:cs="Arial" w:eastAsia="Arial" w:hAnsi="Arial"/>
                <w:sz w:val="18"/>
                <w:szCs w:val="18"/>
                <w:color w:val="auto"/>
              </w:rPr>
              <w:t>Dublin, Ireland</w:t>
            </w:r>
          </w:p>
        </w:tc>
        <w:tc>
          <w:tcPr>
            <w:tcW w:w="6420" w:type="dxa"/>
            <w:vAlign w:val="bottom"/>
          </w:tcPr>
          <w:p>
            <w:pPr>
              <w:ind w:left="160"/>
              <w:spacing w:after="0"/>
              <w:rPr>
                <w:sz w:val="20"/>
                <w:szCs w:val="20"/>
                <w:color w:val="auto"/>
              </w:rPr>
            </w:pPr>
            <w:r>
              <w:rPr>
                <w:rFonts w:ascii="Arial" w:cs="Arial" w:eastAsia="Arial" w:hAnsi="Arial"/>
                <w:sz w:val="18"/>
                <w:szCs w:val="18"/>
                <w:color w:val="auto"/>
              </w:rPr>
              <w:t>Flight Equipment Asset Management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tcPr>
          <w:p>
            <w:pPr>
              <w:ind w:left="60"/>
              <w:spacing w:after="0"/>
              <w:rPr>
                <w:sz w:val="20"/>
                <w:szCs w:val="20"/>
                <w:color w:val="auto"/>
              </w:rPr>
            </w:pPr>
            <w:r>
              <w:rPr>
                <w:rFonts w:ascii="Arial" w:cs="Arial" w:eastAsia="Arial" w:hAnsi="Arial"/>
                <w:sz w:val="18"/>
                <w:szCs w:val="18"/>
                <w:color w:val="auto"/>
                <w:w w:val="99"/>
              </w:rPr>
              <w:t>Bridgend, United Kingdom</w:t>
            </w:r>
          </w:p>
        </w:tc>
        <w:tc>
          <w:tcPr>
            <w:tcW w:w="6420" w:type="dxa"/>
            <w:vAlign w:val="bottom"/>
          </w:tcPr>
          <w:p>
            <w:pPr>
              <w:ind w:left="160"/>
              <w:spacing w:after="0"/>
              <w:rPr>
                <w:sz w:val="20"/>
                <w:szCs w:val="20"/>
                <w:color w:val="auto"/>
              </w:rPr>
            </w:pPr>
            <w:r>
              <w:rPr>
                <w:rFonts w:ascii="Arial" w:cs="Arial" w:eastAsia="Arial" w:hAnsi="Arial"/>
                <w:sz w:val="18"/>
                <w:szCs w:val="18"/>
                <w:color w:val="auto"/>
              </w:rPr>
              <w:t>Regional Representative Sales Offices</w:t>
            </w:r>
          </w:p>
        </w:tc>
      </w:t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tcPr>
          <w:p>
            <w:pPr>
              <w:ind w:left="60"/>
              <w:spacing w:after="0"/>
              <w:rPr>
                <w:sz w:val="20"/>
                <w:szCs w:val="20"/>
                <w:color w:val="auto"/>
              </w:rPr>
            </w:pPr>
            <w:r>
              <w:rPr>
                <w:rFonts w:ascii="Arial" w:cs="Arial" w:eastAsia="Arial" w:hAnsi="Arial"/>
                <w:sz w:val="18"/>
                <w:szCs w:val="18"/>
                <w:color w:val="auto"/>
              </w:rPr>
              <w:t>Singapore</w:t>
            </w:r>
          </w:p>
        </w:tc>
        <w:tc>
          <w:tcPr>
            <w:tcW w:w="6420" w:type="dxa"/>
            <w:vAlign w:val="bottom"/>
          </w:tcPr>
          <w:p>
            <w:pPr>
              <w:ind w:left="160"/>
              <w:spacing w:after="0"/>
              <w:rPr>
                <w:sz w:val="20"/>
                <w:szCs w:val="20"/>
                <w:color w:val="auto"/>
              </w:rPr>
            </w:pPr>
            <w:r>
              <w:rPr>
                <w:rFonts w:ascii="Arial" w:cs="Arial" w:eastAsia="Arial" w:hAnsi="Arial"/>
                <w:sz w:val="18"/>
                <w:szCs w:val="18"/>
                <w:color w:val="auto"/>
              </w:rPr>
              <w:t>Regional Representative Sales Offices</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Our Goodyear, AZ and Roswell, NM facilities are located in the airport at the Phoenix Goodyear Airport and Roswell International Air Center, respectively, and make up two of our FAA-authorized repair station operations centers. Combined, they feature over 650,000 square feet of hangar space and with a capability of dry desert long-term storage for up to 650 aircraft. In addition to having airframe maintenance service offerings at these facilities, we have FAA-authorized repair station operations in our Rio Rancho, NM, Memphis, TN, and Miami, FL facilities that provide component MRO service offerings.</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231F20"/>
        </w:rPr>
        <w:t>We primarily distribute USM parts from our dedicated distribution warehouse located in Memphis, TN, in addition to on-site bulk storage capacity at our Roswell, NM facility. These facilities collectively provide more than 300,000 square feet of available space to efficiently manage our Flight Equipment inventories and facilitate support of our customers’ urgent spare part requirements with non-stop delivery capacity to destinations worldwide.</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231F20"/>
        </w:rPr>
        <w:t>From time to time, we are subject to litigation incidental to our business. We are not currently party to any legal proceedings that would be reasonably expected to have a material adverse effect on our business or financial condition.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Not applicable.</w:t>
      </w:r>
    </w:p>
    <w:p>
      <w:pPr>
        <w:sectPr>
          <w:pgSz w:w="11900" w:h="16838" w:orient="portrait"/>
          <w:cols w:equalWidth="0" w:num="1">
            <w:col w:w="11240"/>
          </w:cols>
          <w:pgMar w:left="320" w:top="904"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ectPr>
          <w:pgSz w:w="11900" w:h="16838" w:orient="portrait"/>
          <w:cols w:equalWidth="0" w:num="2">
            <w:col w:w="620" w:space="680"/>
            <w:col w:w="9940"/>
          </w:cols>
          <w:pgMar w:left="320" w:top="904"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231F20"/>
        </w:rPr>
        <w:t>Market Information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31F20"/>
        </w:rPr>
        <w:t>Our common stock and warrants are currently listed on the Nasdaq Capital Market under the symbols “ASLE” and “ASLEW,” respectively since December 23,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Holders of Record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As of February 3, 2021, there were 1,300 holders of record of our common stock and 932 holders of record of our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Dividends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We have not paid any cash dividends on the common stock to date. Any decision to declare and pay dividends in the future will be made at the discretion of the Board and will depend on, among other things, our results of operations, financial condition, cash requirements, contractual restrictions and other factors that the Board may deem relevant. Currently, the terms of the PSP funding prohibit us from paying stock dividends through March 31, 2022. Accordingly, we are prohibited from declaring any cash dividends to holders of the common stock prior to that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Purchases of Equity Securities by the Issuer or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Use of Proceeds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231F20"/>
        </w:rPr>
        <w:t>On February 7, 2019, Monocle consummated its initial public offering (the “Monocle IPO”) of 17,250,000 units, inclusive of 2,250,000 units sold to the underwriters upon the election to fully exercise their over-allotment option, at a price of $10.00 per unit, generating total gross proceeds of $172.5 million. Each unit consisted of one share of Monocles’s common stock, par value $0.0001 per share (“Monocle Common Stock”), and one redeemable warrant of Monocle. Each warrant entitled the holder thereof to purchase one share of Monocle Common Stock for $11.50 per share, subject to adjustment.</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7" w:name="page28"/>
    <w:bookmarkEnd w:id="27"/>
    <w:p>
      <w:pPr>
        <w:jc w:val="both"/>
        <w:ind w:firstLine="648"/>
        <w:spacing w:after="0" w:line="263" w:lineRule="auto"/>
        <w:rPr>
          <w:sz w:val="20"/>
          <w:szCs w:val="20"/>
          <w:color w:val="auto"/>
        </w:rPr>
      </w:pPr>
      <w:r>
        <w:rPr>
          <w:rFonts w:ascii="Arial" w:cs="Arial" w:eastAsia="Arial" w:hAnsi="Arial"/>
          <w:sz w:val="18"/>
          <w:szCs w:val="18"/>
          <w:color w:val="231F20"/>
        </w:rPr>
        <w:t>Cowen and Company, LLC and Chardan Capital Markets, LLC acted as the joint book-running managers of the offering. The securities sold in the offering were registered under the Securities Act on a registration statement on Form S-1 (File No. 333-228470). The SEC declared the registration statement effective on February 6, 2019.</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231F20"/>
        </w:rPr>
        <w:t>Simultaneously with the consummation of the Monocle IPO and the full over-allotment option, Monocle also consummated a private placement (the “Monocle Private Placement”) of an aggregate of 717,500 private units to Monocle Partners, LLC and Cowen Investments II LLC at a price of $10.00 per private unit, generating total proceeds of $7,175,000. Such securities were issued pursuant to the exemption from registration contained in Section 4(a)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(2) of the Securities Act.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Monocle paid a total of $3,450,000 underwriting discounts and commissions and $564,101 for other costs and expenses related to the Monocle IPO. After deducting the underwriting discounts and commissions and the offering expenses, the total net proceeds from the Monocle IPO, including the full exercise of the underwriters’ over-allotment option, and the Monocle Private Placement were approximately $175,660,899, of which $174,225,000 was placed in a trust account.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After deducting payments to existing shareholders of $165.8 million in connection with their exercise of redemption rights and the payment of $10.2 million of expenses paid from the trust account, the remainder of the trust account is now held on our balance sheet to fund our operations and continued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Performance Graph</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231F20"/>
        </w:rPr>
        <w:t>The following graph compares the cumulative total stockholder return for (i) our common stock, (ii) the Standard &amp; Poor’s 500 Stock Index (“S&amp;P 500”) and (iii) the S&amp;P 500 Aerospace &amp; Defense Index (“S&amp;P A&amp;D”). Our common stock is shown from February 28, 2019, the first day Monocle’s common stock was traded following its initial public offering, through December 31, 2020. For the period between February 28, 2019 through December 22, 2020 the figures relate to Monocle’s common stock, and for the period between December 23, 2020 through December 31, 2020, the figures relate to AerSale Corporation’s common stock. The graph assumes an initial investment of $100 in Monocle’s common stock at the market close on February 28, 2019. This performance graph shall not be deemed "soliciting material" or to be "filed" with the SEC for purposes of Section 18 of the Exchange Act, or otherwise subject to the liabilities under that Section, and shall not be deemed to be incorporated by reference into any filing of AerSale Corporation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122555</wp:posOffset>
            </wp:positionV>
            <wp:extent cx="4646295" cy="2322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4629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You should read the following management’s discussion and analysis together with the financial statements and related notes included elsewhere in this Annual Report on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by AerSale because of the factors described in the sections entitled “Risk Factors” and “Cautionary Note Regarding Forward Looking Statements.” A discussion of the year ended December 31, 2019 compared to the year ended December 31, 2018 is included in our final prospectus filed pursuant to Rule 424(b)(3) (File No. 333-252703), filed with the SEC on February 10, 2020 under the heading “Management’s Discussion and Analysis of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Exchange Act.</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will continue as a wholly owned subsidiary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AerSale operates as a platform for serving the commercial aviation aftermarket sector. AerSale’s top executives have on average over 30 years of experience in aircraft and engine (“Flight Equipment”) management, sales and maintenance services, and are supported by an experienced management team. In 2010, AerSale partnered with private equity firm Leonard Green &amp; Partners, L.P. to scale our business and finance the creation of a purpose-built and fully integrated aviation company. AerSale has established a global footprint focused on providing products and services that maximize the value of Flight Equipment in the middle to end of its operating life cycle.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7" w:lineRule="auto"/>
        <w:rPr>
          <w:sz w:val="20"/>
          <w:szCs w:val="20"/>
          <w:color w:val="auto"/>
        </w:rPr>
      </w:pPr>
      <w:r>
        <w:rPr>
          <w:rFonts w:ascii="Arial" w:cs="Arial" w:eastAsia="Arial" w:hAnsi="Arial"/>
          <w:sz w:val="18"/>
          <w:szCs w:val="18"/>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AerSale reports its activities in two business segments: Asset Management Solutions, comprised of activities that extract value from strategic asset acquisitions either as whole assets or by disassembling for used serviceable material (“USM”); and TechOps, comprised of MRO activities for aircraft and their components, and sales of internally developed engineered solutions products.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AerSale focuses on mid-life Flight Equipment and monetizes them through its Asset Management Solutions segment. Asset Management Solutions’ activities include monetization of assets through the lease or sale of whole assets, or through disassembly activities in support of AerSale’s USM-related activities. AerSale’s monetizing services have been developed to maximize returns on mid-life Flight Equipment throughout their operating life, in conjunction with realizing the highest residual value of Flight Equipment at its retirement. AerSale accomplishes this by utilizing its deep market and technical knowledge related to the management of Flight Equipment sales, leasing and MRO services. To extract value from the remaining flight time on whole assets, AerSale provides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Revenues from this segment are segregated between Aircraft and Engine depending on the asset type that generated the revenue. Lease revenues and the related depreciation from aircraft and engines installed on those aircrafts is recognized under the Aircraft category. Revenues from sales of whole aircraft and related cost of sales are allocated between the Aircraft and Engine categories based on the allocated cost basis of the asset sold.</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AerSale’s TechOps segment provides internal and third-party aviation services, including internally developed engineered solutions, full heavy aircraft maintenance and modification, component MRO, as well as end-of-life disassembly services. AerSale’s MRO business also engages in longer-term projects such as aircraft modifications, cargo/tanker conversions of aircraft, and aircraft storage. The TechOps segment also includes MRO services for landing gear, thrust reversers, hydraulic systems, and other aircraft components.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AerSale utilizes these capabilities to support its customers’ Flight Equipment, as well as to maintain and improve AerSale’s owned Flight Equipment, which is subsequently sold or leased to AerSale’s customers. These processes require a high degree of expertise on each individual aircraft or component that is being serviced. AerSale’s knowledge of these processes allow AerSale to assist customers to comply with applicable regulatory and OEM requirements. A significant amount of skilled labor is required to support this process, which the Company has accumulated through its diversified offerings.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AerSale’s aircraft and USM parts offerings, AerSale develops Engineered Solutions consisting of Supplemental Type Certificates (“STCs”) that can be installed on existing Flight Equipment to improve performance, comply with regulatory requirements, or improve safety. An example of these solutions is the AerSafe® product line, which AerSale has designed and obtained Federal Aviation Administration (“FAA”) approval to sell as a solution for compliance with the FAA’s fuel tank flammability regulations. These products are proprietary in nature and function as non-OEM solutions to regulatory requirements and other technical challenges, often at reduced delivery time and cost for operators. In order to develop these products, AerSale engages in research and development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COVID-19 has been declared a global health pandemic by the World Health Organization. COVID-19 has impacted nearly all regions of the world, which has driven the implementation of significant, government-imposed measures to prevent or reduce its spread, including travel restrictions, the closing of borders, “shelter in place” orders and business closure. As a result, commercial airlines have experienced a decline in demand for air travel. The reduced number of aircraft in service and corresponding flying hours negatively impacts the demand for AerSale’s services, and prolonged reduction could materially and adversely affect AerSale’s business, operating results, financial condition, and liquidity. An extended pandemic, or the threat thereof, could also result in capacity restrictions that may lead to lower productivity in AerSale’s service locations, temporary closure of AerSale’s offices and facilities, travel restrictions for AerSale’s workforce and other voluntary actions that may result in business disruptions.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255" w:lineRule="auto"/>
        <w:rPr>
          <w:sz w:val="20"/>
          <w:szCs w:val="20"/>
          <w:color w:val="auto"/>
        </w:rPr>
      </w:pPr>
      <w:r>
        <w:rPr>
          <w:rFonts w:ascii="Arial" w:cs="Arial" w:eastAsia="Arial" w:hAnsi="Arial"/>
          <w:sz w:val="18"/>
          <w:szCs w:val="18"/>
          <w:color w:val="auto"/>
        </w:rPr>
        <w:t>Early in March 2020, as AerSale began to see the impacts to its customers, the Company took decisive actions to position itself for the short-term impacts of COVID-19, while allowing the Company the flexibility to quickly pursue the opportunities that would follow. The Company cancelled approximately $20 million of feedstock opportunities under negotiation, as it evaluated the impacts of COVID-19 on asset valuations. The Company also reexamined its structure and executed measures in March 2020 to adjust the business through strategic headcount reductions and suspension of various other initiatives to reduce costs by over $20 million on an annualized basis. These measures enabled the Company to remain cash flow positive through the year ended December 31, 2020.</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we expect that the effects of COVID-19 will continue to negatively impact some of AerSale’s business units, we believe that our counter cyclical business units are positioned to perform well during this same period. These include AerSale’s TechOps MROs in Goodyear, AZ and Roswell, NM, which are experiencing outsized growth due to the high demand for aircraft preservation and storage, as well as AerSale’s Asset Management Solutions business units responsible on the buy-side for acquisition of surplus Flight Equipment assets. As the pandemic is reigned in and passenger air travel continues to normalize, revenues for these same business units are expected to grow as aircraft are re-activated from storage and require MRO services (e.g. de-preservation, inspection, maintenance, repairs, testing, reconfiguration, etc.) for return to service, and as demand for AerSale’s Asset Management Solutions sale-side activities pick up in step with increased demand for aircraft, engines, USM, and component MRO services due to associated growth in passenger air travel.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 substantial decrease in passenger air travel and the consequential market decline in aircraft ‘belly space’ used to ship cargo, COVID-19 has dramatically increased the demand for dedicated freighter aircraft to meet the sustained demand for air cargo shipments. This has accelerated an opportunity for AerSale to supply air cargo operators with feedstock freight aircraft, serviceable engines and USM components to meet their expanding operations amid the pandemic.</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AerSale also expects the effects of COVID-19 to have a significantly greater negative impact on AerSale’s non-integrated competitors which are exclusively concentrated in highly vulnerable aviation down-cycle sectors (e.g. flight equipment leasing, component MRO, and USM sales). For this reason, management is actively engaged in multiple M&amp;A initiatives amid the current attractive environment to acquire low-performing businesses that we expect will rebound when the commercial aviation market returns to pre-COVID levels and which, in the interim, will increase AerSale’s scale, capabilities, and market reach, as well as benefit from operating with the integrated AerSale business structure.</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AerSale’s customer base is diverse, and the Company has increasingly been able to cross-sell its products and services across multiple channels, not only for passenger aircraft, but also for cargo and government customers, including the US Department of Defense. The Company expects demand for Flight Equipment and services that support passenger traffic to gradually start recovering in the first half of 2021, and then accelerate through the second half of 2021 and beyond as available vaccines and therapeutics, advances in public health capacity, and safety protocols affecting the way passengers fly, make air travel more attractive for business and personal travelers. There is a high degree of uncertainty regarding the pace of this recovery, with a wide variance among industry analysts. For planning purposes, the Company has assumed that the demand for passenger air travel will not reach 2019 levels</w:t>
      </w:r>
    </w:p>
    <w:p>
      <w:pPr>
        <w:spacing w:after="0" w:line="4"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until 2023. However, AerSale is already starting to see signs of a recovery in commercial aviation and believes that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 of 2020 represented the trough for AerSale revenue and Adjusted EBITDA.</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current dislocation in the commercial aviation market presents certain unique opportunities for AerSale, and the Company is capitalizing on its business model to take advantage of these potential opportunities.</w:t>
      </w:r>
    </w:p>
    <w:p>
      <w:pPr>
        <w:spacing w:after="0" w:line="170"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well positioned to acquire a substantial amount of feedstock with aircraft retirements forecasted to reach a total of 4,000 between 2020 and 2024.</w:t>
      </w:r>
    </w:p>
    <w:p>
      <w:pPr>
        <w:spacing w:after="0" w:line="170"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feedstock of in-production aircraft will allow the Company to participate in burgeoning USM markets that have previously relied almost exclusively on OEM new material; expanding its presence in a $4 billion plus market that is forecasted to grow as customers look for low cost, high quality solutions. USM material typically provides a cost advantage over OEM new material of approximately 30% or more.</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left="9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AerSale anticipates accelerated acquisition of additional Flight Equipment and is particularly focused on responding to the expected increase in demand for passenger-to-freighter conversion feedstock, as well as to flight operators and lessors looking to acquire used replacement engines in order to avoid costly engine repairs.</w:t>
      </w:r>
    </w:p>
    <w:p>
      <w:pPr>
        <w:spacing w:after="0" w:line="183"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has experienced a dramatic rise in demand for dry desert aircraft storage services at its Goodyear, AZ and Roswell, NM facilities. Typical demand for aircraft storage pre-COVID was averaging just over 100 aircraft, while the number of aircraft in storage surpassed 450 by the end of 2020, out of a total capacity of up to 650 aircraft. As one of the largest providers of aircraft storage, the Company is seeing a significant rise in storage and preservation revenues, which is expected to continue through 2021.</w:t>
      </w:r>
    </w:p>
    <w:p>
      <w:pPr>
        <w:spacing w:after="0" w:line="17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many of the aircraft in storage at our facilities will return to service with new operators in a normalizing market going forward, AerSale expects to see a surge in demand for the Company’s aircraft MRO services, including interior modifications, cargo conversion services, and equipment upgrades.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Record numbers of aircraft in storage at our facilities is also expected to significantly increase AerSale’s “first-access” aircraft buying opportunities, while simultaneously providing a significant savings advantage through the reduced logistical costs associated with purchasing aircraft on-site.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AerSale will accelerate the organic expansion of MRO capabilities within its TechOps facilities (e.g. increased landing gear MRO operations at the Company’s Landing Gear Solutions facility in Rio Rancho, NM); however, as with the Asset Management Solutions segment, greater focus is now being shifted towards targeted pandemic-resilient markets, including cargo, defense, and government sectors.</w:t>
      </w:r>
    </w:p>
    <w:p>
      <w:pPr>
        <w:spacing w:after="0" w:line="148"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expects to see an uptick in mergers and acquisition (“M&amp;A”) opportunities from non-integrated and less disciplined competitors who had been heavily acquiring mid-life assets in the overheated pre-COVID market run up. AerSale believes it is entering an ideal period to accelerate its non-organic growth through increased M&amp;A initiatives, while benefiting from greater market share and workforce availability in a less-crowded and less-competitive landscape.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believes that its available liquidity under its existing credit facility and the cash proceeds from the closing of the Merger will provide it with sufficient resources to take advantage of the business opportunities it foresees with its adaptive business strategy. The Company has a proven historical track record of highly disciplined asset acquisitions in post recessionary environments achieving high returns and minimal inventory obsolescence charges.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the Company responds to the changing business environment caused by COVID-19, it expects the mix of business in its two business segments to change, with the percentage of business coming from TechOps increasing. The Company believes that this short-term change in mix demonstrates the ability of its diverse offerings to respond effectively to changing market dynamics. As the commercial aviation market recovers, the Company expects both segments to benefit from the recovery.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many uncertainties regarding COVID-19, and we continue to closely monitor the impact of the pandemic on all aspects of our business, including how it is impacting our customers, employees, suppliers, vendors, business partners and distribution channels. See Item 1A. Risk Factors for additional risks and uncertainties related to COVID-19’s impact on our business, including “The coronavirus pandemic has had a material adverse impact on our business, operating results, financial condition, and liquidity, and the duration and extent of the pandemic could prolong or increase the adverse impact.”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(“U.S. GAAP”) requires AerSale’s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Actual results could differ from those estimates.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Significant items subject to such estimates and assumptions include revenue recognition, the useful lives of property and equipment, useful lives and residual values of Flight Equipment held for lease, allowances for doubtful accounts and sales returns, the income tax provision, impairment of long-lived assets, valuation of inventory, valuation and useful lives of intangibles, goodwill and contingencies.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AerSale believes the following critical accounting policies are affected by its judgments and estimates used in the preparation of AerSale’s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of aircraft and engine parts, which may include sales of whole aircraft and engines, are reported net of estimated returns and allowances. The reserve for returns and allowances is calculated as a percentage of sales based on historical return percentages.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Freight costs charged to buyers are recorded in both revenue and selling, general and administrative expenses within the Consolidated Statements of Operations.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AerSale leases Flight Equipment under operating leases that contain monthly base rent and reports basic rental income straight line over the life of the lease as it is earned. Additionally, AerSale’s leases provide for maintenance reserves (also known as supplemental rent), which is calculated based on the number of hours or cycles an operator uses the leased Flight Equipment and, for certain components, based on the amount of time until maintenance of that component is required. In certain leases, AerSale records supplemental rent paid by the lessees as maintenance deposit payment liabilities in recognition of AerSale’s contractual commitment to reimburse qualifying maintenance. Reimbursements to the lessees upon receipt of evidence of qualifying maintenance work are charged against the existing maintenance deposit payment liabilities. In leases where AerSale is responsible for performing certain repairs or replacement of aircraft components or engines, supplemental rent is recorded as revenue in the period earned. In the event of premature lease termination or lessee default on the lease terms, revenue recognition will cease when the amount outstanding exceeds the customer’s deposit held.</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AerSale applies ASC 606 — Revenue from Contracts with Customers (“ASC 606”). Under ASC 606 revenue is measured based on the consideration specified in a contract with a customer, and excludes any sales commissions and taxes collected and remitted to government agencies. AerSale recognizes revenue when it satisfies a performance obligation by transferring control over a product or service to a customer.</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When AerSale enters into a contract, AerSale’s management evaluates if the contract should be accounted for as a single performance obligation or if the contract contains multiple performance obligations. In certain cases, AerSale’s service contract with a customer is considered one performance obligation if the service provided meets certain criteria including the service being provided is significantly integrated with other obligations under the relevant contract, the service provided significantly modifies or customizes another good or service or the good or service is highly interdependent or interrelated with another good or service. If the contract has more than one performance obligation, AerSale determines the standalone price of each distinct good or service underlying each performance obligation and allocates the transaction price based on the relative standalone selling prices.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transaction price of a contract, which can include both fixed and variable amounts, is allocated to each performance obligation identified. Certain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for which it is probable that a significant reversal in the amount of cumulative revenue recognized will not occur. Variable consideration that cannot be reasonably estimated is recorded when known.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63" w:lineRule="auto"/>
        <w:rPr>
          <w:sz w:val="20"/>
          <w:szCs w:val="20"/>
          <w:color w:val="auto"/>
        </w:rPr>
      </w:pPr>
      <w:r>
        <w:rPr>
          <w:rFonts w:ascii="Arial" w:cs="Arial" w:eastAsia="Arial" w:hAnsi="Arial"/>
          <w:sz w:val="18"/>
          <w:szCs w:val="18"/>
          <w:color w:val="auto"/>
        </w:rPr>
        <w:t>AerSale’s performance obligations are satisfied over time as work progresses or at a point in time based on transfer of control of products and services to AerSale’s customers. The majority of AerSale’s sales of products are recognized at a point in time upon transfer of control to the customer which generally occurs upon shipment.</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AerSale’s service revenue, the performance obligations are generally satisfied over time. AerSale measures progress in a manner that depicts the performance of transferring control to the customer. As such, AerSale utilizes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AerSale is required to make certain judgments and estimates, including estimated revenues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Changes in estimates and assumptions related to AerSale’s arrangements accounted for using the modified retrospective method are recorded using the cumulative catch-up method of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Cost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Inventory is valued at the lower of cost or market value. For purchases of whole aircraft and engines for sale or lease, cost is determined using the specific identification method whereby total cost is the cost paid, including certain capitalizable asset acquisition costs, to acquire such assets as a whole.</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AerSale purchases certain whole aircraft and engines to disassemble and supply its engine and airframe parts inventory. For aircraft and engine parts that originate from such dismantled aircraft and engines, cost is determined using a ratio calculated based on the relationship of the cost of the dismantled aircraft or engine at the time of purchase to the total estimated sales value of the dismantled aircraft or engine at the time of purchase. At the time of sale, this ratio is applied to the sale price of each individual airframe and/or engine part to determine its allocated cost. At the time of sale, the sum of an individual part’s allocated cost and actual repair or overhaul costs incurred represent the total cost for such part. Inventory not expected to be sold within the operating cycle is classified as non-current inventory on the Consolidated Balance Sheets.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AerSale evaluates this ratio periodically, and if necessary, updates sales estimates and makes prospective adjustments to this ratio. Any amounts identified with an estimated sales value lower than the carrying value is reduced to the estimated sales value at the time of the review. Expenditures required for the repair of engine and airframe parts are capitalized as inventory and are expensed as cost of sales when associated parts are sold. During the year ended December 31, 2020, AerSale recorded an inventory reserve of $13.1 million mostly related to the early discontinuation of an aircraft platform by its largest operator driven by the impact of COVID-19 on demand for passenger flights.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accordance with ASC 350, “Intangibles - Goodwill and Other,”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assessment involves determining the fair value of each reporting unit using market participant assumptions. An entity should recognize an impairment charge for the amount by which the carrying amount of a reporting unit exceeds its fair value up to the amount of goodwill allocated to that reporting unit.</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purposes of reviewing impairment and the recoverability of goodwill, AerSale’s management must make various assumptions regarding estimated future cash flows and other factors in determining the fair values of the reporting unit, including market multiples, discount rates, etc.</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648"/>
        <w:spacing w:after="0" w:line="311" w:lineRule="auto"/>
        <w:rPr>
          <w:sz w:val="20"/>
          <w:szCs w:val="20"/>
          <w:color w:val="auto"/>
        </w:rPr>
      </w:pPr>
      <w:r>
        <w:rPr>
          <w:rFonts w:ascii="Arial" w:cs="Arial" w:eastAsia="Arial" w:hAnsi="Arial"/>
          <w:sz w:val="16"/>
          <w:szCs w:val="16"/>
          <w:color w:val="auto"/>
        </w:rPr>
        <w:t>As a result of the COVID-19 pandemic and its impact on the aviation industry, AerSale performed a qualitative impairment analysis as of June 30, 2020. The Company also performed its annual quantitative impairment analysis as of October 1, 2020 on the goodwill for the Asset Management Solutions and TechOps segments, and concluded the fair value of each reporting unit exceeded their carrying values, and thus no impairment charge was recorded.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Relationships and Other Intangible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Intangibles arising from business combinations, including customer relationships and FAA certificates are initially recorded at fair market value. Customer relationships are amortized over ten years and favorable leases are amortized over the remaining term of the lease. Straight-line amortization is utilized. Where there are no legal, regulatory, contractual, or other factors that would reasonably limit the useful life of an intangible asset, that asset is classified as indefinite lived and such intangible assets are not amortized.</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Other intangible assets with indefinite and definite lives are assessed for impairment annually, or more frequently when events or circumstances indicate there may be an impairment. These assets are carried at the estimated fair value at the time of acquisition. AerSale performed a quantitative impairment analysis as of June 30, 2020 on the indefinite lived intangible assets and concluded there were no impairments.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AerSale annually reviews the estimated lives and methods used to amortize other intangible assets. The actual amounts of amortization expense may differ materially from AerSale’s estimates, depending on the results of AerSale’s annual review.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Long-lived assets to be held and used are reviewed for impairment whenever events or changes in circumstances indicate that the carrying amount of the asset may not be recoverable, and long-lived to be disposed of are reported at the lower of carrying amount or fair value less cost to sell. AerSale performed an impairment analysis on the property and equipment and concluded there was no impairment for the year ended December 31, 2020.</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a quarterly basis, AerSale’s management monitors its Flight Equipment lease portfolio for events that may indicate that a particular asset may need to be evaluated for potential impairment. These events may include a decision to sell an asset (in whole or as USM parts), knowledge of specific damage to an asset, or supply/demand events that may affect AerSale’s ability to lease an asset in the future. On an annual basis, even absent any such triggering event, AerSale evaluates the carrying value of the assets in its Flight Equipment lease portfolio to determine if any impairment exists.</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Impairment may be identified by several factors, including, comparison of estimated sales proceeds or undiscounted forecasted cash flows over the life of the asset with the asset’s book value. If the forecasted undiscounted cash flows are less than the book value, the asset is written down to its fair value. When evaluating for impairment, AerSale groups assets at the lowest level for which identifiable cash flows are largely independent of the cash flows of other assets and liabilities. In AerSale’s Flight Equipment portfolio, this is at the individual asset level (e.g., engine or aircraft), as each asset generates its own stream of cash flows, including lease rents, maintenance reserves and repair costs.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AerSale must make assumptions which underlie the most significant and subjective estimates in determining whether any impairment exists. Those estimates, and the underlying assumptions, are as follows:</w:t>
      </w:r>
    </w:p>
    <w:p>
      <w:pPr>
        <w:spacing w:after="0" w:line="170" w:lineRule="exact"/>
        <w:rPr>
          <w:sz w:val="20"/>
          <w:szCs w:val="20"/>
          <w:color w:val="auto"/>
        </w:rPr>
      </w:pPr>
    </w:p>
    <w:p>
      <w:pPr>
        <w:ind w:left="6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Fair value – AerSale determines fair value by reference to independent appraisals, quoted market prices (e.g., an offer to purchase) and other factors such as current data from airlines, engine manufacturers, and MRO providers as well as specific market sales and repair cost data.</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cash flows – when evaluating the future cash flows that an asset will generate, AerSale makes assumptions regarding the lease market for specific asset models, including estimates of market lease rates and future residual values.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7"/>
          <w:szCs w:val="17"/>
          <w:color w:val="auto"/>
        </w:rPr>
        <w:t>If the undiscounted forecasted cash flows and fair value of AerSale’s long-lived assets decrease in the future, AerSale may incur impairment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charges.</w:t>
      </w:r>
    </w:p>
    <w:p>
      <w:pPr>
        <w:spacing w:after="0" w:line="211"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Inventory, which consists of complete aircraft and engines held for sale, as well as related parts, is valued at the lower of cost or market value. An impairment charge for excess or inactive inventory is recorded based upon an analysis that considers current inventory levels, historical sales patterns, and future sales expectations. AerSale has recorded an impairment of its flight equipment for $3.0 million during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Maintenance Expenditures and Maintenance Reserves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certain of AerSale’s aircraft leases, the lessee is responsible for performing required maintenance and repairs on the leased asset and is required to have the obligation to make monthly maintenance reserve payments to AerSale, in arrears following the usage month. Upon the lessee’s presentation of invoices evidencing the completion of qualifying maintenance, AerSale will reimburse the lessee for the cost of the maintenance, up to the amount of the maintenance payments that have been received by AerSale from the lessee. Unless otherwise provided in the relevant contract, AerSale records such maintenance payments paid by the lessees as maintenance deposit payment liabilities to record AerSale’s contractual commitment to reimburse such qualifying maintenance.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Reimbursements to the lessees upon receipt of evidence for qualifying maintenance work are charged against the existing maintenance deposit payment liabilities.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other lease contracts (primarily engine lease contracts) where the terms of the lease are designed specifically to allow AerSale to directly manage the occurrence, timing, and associated cost of qualifying maintenance work on the Flight Equipment, supplemental rent collected during the lease is recognized as lease revenue in the period earned.</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amounts of maintenance deposit payments existing at the end of a lease contract are released and recognized as lease revenue or applied against outstanding accounts receivable at lease termination.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Useful Lives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Aircraft are depreciated over the assets’ useful life using the straight-line method to the estimated residual value based on the total remaining life before disassembly or outright scrap metal value. AerSale’s typical aircraft useful lives range from two to ten years.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Engines are depreciated using the straight-line method to the estimated residual value based on the total life remaining before disassembly. To arrive at the total engine life remaining before disassembly, the remaining life of the engine’s life-limited parts, the estimated utilization, and condition, as well as the aircraft fleet supported by the engine model are considered and evaluated on a quarterly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most recent adopted and to be adopted accounting pronouncements are described in Note B to AerSale’s Consolidated Financial Statements included in this 10-K.</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gross profit for AerSale’s two business segments for the years ended in December 31, 2020 and 2019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r>
              <w:rPr>
                <w:rFonts w:ascii="Arial" w:cs="Arial" w:eastAsia="Arial" w:hAnsi="Arial"/>
                <w:sz w:val="18"/>
                <w:szCs w:val="18"/>
                <w:i w:val="1"/>
                <w:iCs w:val="1"/>
                <w:color w:val="auto"/>
              </w:rPr>
              <w:t>Year ended December 31, 2020 compared to the year ended December 31, 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5"/>
        </w:trPr>
        <w:tc>
          <w:tcPr>
            <w:tcW w:w="6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1440" w:type="dxa"/>
            <w:vAlign w:val="bottom"/>
          </w:tcPr>
          <w:p>
            <w:pPr>
              <w:spacing w:after="0"/>
              <w:rPr>
                <w:sz w:val="24"/>
                <w:szCs w:val="24"/>
                <w:color w:val="auto"/>
              </w:rPr>
            </w:pPr>
          </w:p>
        </w:tc>
      </w:tr>
      <w:tr>
        <w:trPr>
          <w:trHeight w:val="223"/>
        </w:trPr>
        <w:tc>
          <w:tcPr>
            <w:tcW w:w="6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7"/>
              </w:rPr>
              <w:t>Percent Change</w:t>
            </w: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Asset Management Solutions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8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Aircraft</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53,639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98,736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29"/>
        </w:trPr>
        <w:tc>
          <w:tcPr>
            <w:tcW w:w="6800" w:type="dxa"/>
            <w:vAlign w:val="bottom"/>
          </w:tcPr>
          <w:p>
            <w:pPr>
              <w:ind w:left="820"/>
              <w:spacing w:after="0"/>
              <w:rPr>
                <w:sz w:val="20"/>
                <w:szCs w:val="20"/>
                <w:color w:val="auto"/>
              </w:rPr>
            </w:pPr>
            <w:r>
              <w:rPr>
                <w:rFonts w:ascii="Arial" w:cs="Arial" w:eastAsia="Arial" w:hAnsi="Arial"/>
                <w:sz w:val="18"/>
                <w:szCs w:val="18"/>
                <w:color w:val="auto"/>
              </w:rPr>
              <w:t>Engines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45,072</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123,088</w:t>
            </w:r>
          </w:p>
        </w:tc>
        <w:tc>
          <w:tcPr>
            <w:tcW w:w="144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23"/>
        </w:trPr>
        <w:tc>
          <w:tcPr>
            <w:tcW w:w="68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98,711</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221,824</w:t>
            </w:r>
          </w:p>
        </w:tc>
        <w:tc>
          <w:tcPr>
            <w:tcW w:w="2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09"/>
        </w:trPr>
        <w:tc>
          <w:tcPr>
            <w:tcW w:w="6800" w:type="dxa"/>
            <w:vAlign w:val="bottom"/>
          </w:tcPr>
          <w:p>
            <w:pPr>
              <w:ind w:left="180"/>
              <w:spacing w:after="0"/>
              <w:rPr>
                <w:sz w:val="20"/>
                <w:szCs w:val="20"/>
                <w:color w:val="auto"/>
              </w:rPr>
            </w:pPr>
            <w:r>
              <w:rPr>
                <w:rFonts w:ascii="Arial" w:cs="Arial" w:eastAsia="Arial" w:hAnsi="Arial"/>
                <w:sz w:val="18"/>
                <w:szCs w:val="18"/>
                <w:color w:val="auto"/>
              </w:rPr>
              <w:t>TechOps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8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MRO</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103,899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69,389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29"/>
        </w:trPr>
        <w:tc>
          <w:tcPr>
            <w:tcW w:w="6800" w:type="dxa"/>
            <w:vAlign w:val="bottom"/>
          </w:tcPr>
          <w:p>
            <w:pPr>
              <w:ind w:left="820"/>
              <w:spacing w:after="0"/>
              <w:rPr>
                <w:sz w:val="20"/>
                <w:szCs w:val="20"/>
                <w:color w:val="auto"/>
              </w:rPr>
            </w:pPr>
            <w:r>
              <w:rPr>
                <w:rFonts w:ascii="Arial" w:cs="Arial" w:eastAsia="Arial" w:hAnsi="Arial"/>
                <w:sz w:val="18"/>
                <w:szCs w:val="18"/>
                <w:color w:val="auto"/>
              </w:rPr>
              <w:t>Product Sales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6,328</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12,988</w:t>
            </w:r>
          </w:p>
        </w:tc>
        <w:tc>
          <w:tcPr>
            <w:tcW w:w="144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23"/>
        </w:trPr>
        <w:tc>
          <w:tcPr>
            <w:tcW w:w="68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110,227</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82,377</w:t>
            </w:r>
          </w:p>
        </w:tc>
        <w:tc>
          <w:tcPr>
            <w:tcW w:w="2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3"/>
        </w:trPr>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3"/>
        </w:trPr>
        <w:tc>
          <w:tcPr>
            <w:tcW w:w="6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208,938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304,201</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26"/>
        </w:trPr>
        <w:tc>
          <w:tcPr>
            <w:tcW w:w="6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1440" w:type="dxa"/>
            <w:vAlign w:val="bottom"/>
          </w:tcPr>
          <w:p>
            <w:pPr>
              <w:spacing w:after="0"/>
              <w:rPr>
                <w:sz w:val="24"/>
                <w:szCs w:val="24"/>
                <w:color w:val="auto"/>
              </w:rPr>
            </w:pPr>
          </w:p>
        </w:tc>
      </w:tr>
      <w:tr>
        <w:trPr>
          <w:trHeight w:val="223"/>
        </w:trPr>
        <w:tc>
          <w:tcPr>
            <w:tcW w:w="6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7"/>
              </w:rPr>
              <w:t>Percent Change</w:t>
            </w: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Asset Management Solutions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8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Aircraft</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27,592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6800" w:type="dxa"/>
            <w:vAlign w:val="bottom"/>
          </w:tcPr>
          <w:p>
            <w:pPr>
              <w:ind w:left="820"/>
              <w:spacing w:after="0"/>
              <w:rPr>
                <w:sz w:val="20"/>
                <w:szCs w:val="20"/>
                <w:color w:val="auto"/>
              </w:rPr>
            </w:pPr>
            <w:r>
              <w:rPr>
                <w:rFonts w:ascii="Arial" w:cs="Arial" w:eastAsia="Arial" w:hAnsi="Arial"/>
                <w:sz w:val="18"/>
                <w:szCs w:val="18"/>
                <w:color w:val="auto"/>
              </w:rPr>
              <w:t>Engines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17,383</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40,113</w:t>
            </w:r>
          </w:p>
        </w:tc>
        <w:tc>
          <w:tcPr>
            <w:tcW w:w="144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23"/>
        </w:trPr>
        <w:tc>
          <w:tcPr>
            <w:tcW w:w="68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29,297</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67,705</w:t>
            </w:r>
          </w:p>
        </w:tc>
        <w:tc>
          <w:tcPr>
            <w:tcW w:w="2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10"/>
        </w:trPr>
        <w:tc>
          <w:tcPr>
            <w:tcW w:w="6800" w:type="dxa"/>
            <w:vAlign w:val="bottom"/>
          </w:tcPr>
          <w:p>
            <w:pPr>
              <w:ind w:left="180"/>
              <w:spacing w:after="0"/>
              <w:rPr>
                <w:sz w:val="20"/>
                <w:szCs w:val="20"/>
                <w:color w:val="auto"/>
              </w:rPr>
            </w:pPr>
            <w:r>
              <w:rPr>
                <w:rFonts w:ascii="Arial" w:cs="Arial" w:eastAsia="Arial" w:hAnsi="Arial"/>
                <w:sz w:val="18"/>
                <w:szCs w:val="18"/>
                <w:color w:val="auto"/>
              </w:rPr>
              <w:t>TechOps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8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MRO</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21,883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6800" w:type="dxa"/>
            <w:vAlign w:val="bottom"/>
          </w:tcPr>
          <w:p>
            <w:pPr>
              <w:ind w:left="820"/>
              <w:spacing w:after="0"/>
              <w:rPr>
                <w:sz w:val="20"/>
                <w:szCs w:val="20"/>
                <w:color w:val="auto"/>
              </w:rPr>
            </w:pPr>
            <w:r>
              <w:rPr>
                <w:rFonts w:ascii="Arial" w:cs="Arial" w:eastAsia="Arial" w:hAnsi="Arial"/>
                <w:sz w:val="18"/>
                <w:szCs w:val="18"/>
                <w:color w:val="auto"/>
              </w:rPr>
              <w:t>Product Sales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1,609</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6,219</w:t>
            </w:r>
          </w:p>
        </w:tc>
        <w:tc>
          <w:tcPr>
            <w:tcW w:w="144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23"/>
        </w:trPr>
        <w:tc>
          <w:tcPr>
            <w:tcW w:w="68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23,492</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2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23"/>
        </w:trPr>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3"/>
        </w:trPr>
        <w:tc>
          <w:tcPr>
            <w:tcW w:w="68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52,789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85,049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revenues decreased $95.3 million or 31.3% to $208.9 million for the year ended December 31, 2020, from $304.2 million for the year ended December 31, 2019, driven by a decrease of $123.1 million, or 55.5%, within Asset Management Solutions and an increase of $27.9 million, or 33.8% million, within TechOps.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 Solutions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Sales in the Asset Management Solutions segment decreased $123.1 million or 55.5%, to $98.7 million for the year ended December 31, 2020, from $221.8 million for the year ended December 31, 2019, due to a $45.1 million, or 45.7%, decrease in revenues from Aircraft, and a $78.0 million, or 63.4%, decrease in revenues from Engines. The decrease in Aircraft revenues is primarily attributable to decreased activity in the A320 and B737 product lines as a result of lower trading and leasing volume. The reduction in revenue from Aircraft due to lower trading volume amounted to $27.4 million. The decrease in Engines revenues is primarily attributable to decreased activity in the CF6-80, CFM56, and V2500 product lines as a result of lower trading volume and USM sales, for a total decrease of $39.6 million. The reductions in leasing, USM sales, and asset trading are directly related to the global decrease in demand for flight hours in response to the COVID-19 pandemic. In June 2019, AerSale acquired Qwest Air Parts and fully integrated this business within the operations of the Asset Management Solutions segment effective January 2020. As such, the impact of this acquisition on total segment revenues for the year ended December 31, 2020 is not determinable.</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 of sales in Asset Management Solutions segment decreased $84.7 million or 55.0%, to $69.4 million for the year ended December 31, 2020, compared to $154.1 million for the year ended December 31, 2019. The decrease in cost of sales was primarily driven by the sales decrease discussed above, and partially offset by the inventory reserve recorded during the year ended December 31, 2020. Gross profit in the Asset Management Solutions segment decreased $38.4 million or 56.7%, to $29.3 million for the year ended December 31, 2020, from $67.7 million for the year ended December 31, 2019. The margin reduction is mainly attributable to an inventory reserve and an impairment of Flight Equipment of which $12.9 million relates to Aircraft, and $3.0 million relates to Engines for the year ended December 31, 2020, which was partially offset by additional lease margins from the settlement of aircraft maintenance reserves.</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301" w:lineRule="auto"/>
        <w:rPr>
          <w:sz w:val="20"/>
          <w:szCs w:val="20"/>
          <w:color w:val="auto"/>
        </w:rPr>
      </w:pPr>
      <w:r>
        <w:rPr>
          <w:rFonts w:ascii="Arial" w:cs="Arial" w:eastAsia="Arial" w:hAnsi="Arial"/>
          <w:sz w:val="16"/>
          <w:szCs w:val="16"/>
          <w:color w:val="auto"/>
        </w:rPr>
        <w:t>Aircraft gross profit margins decreased to 22.2% for the year ended December 31, 2020, from 27.9% for the year ended December 31, 2019 due to the impact of the inventory reserve and impairment adjustment noted above, offset by USM sales in various platforms where costs had been fully recaptured and end-of-lease maintenance settlements. Engines gross profit margins increased to 38.6% for the year ended December 31, 2020, from 32.6% for the year ended December 31, 2019, primarily due to reduced cost from lower utilization of leased engines by many of AerSale’s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TechOps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AerSale’s revenue from TechOps increased by $27.8 million or 33.8%, to $110.2 million for the year ended December 31, 2020, compared to $82.4 million for the year ended December 31, 2019. The increase was primarily driven by increased demand for maintenance and storage programs, including preservation work, based on the increase in fleet groundings due to reduced passenger flight volume related to COVID-19, as well as the ACT acquisition.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Cost of sales in TechOps increased $21.7 million or 33.4%, to $86.7 million for the year ended December 31, 2020, from $65.0 million for the year ended December 31, 2019, which is consistent with the sales increase discussed above. Gross profit in TechOps increased $6.2 million or 35.4%, to $23.5 million for the year ended December 31, 2020, compared to $17.3 million for the year ended December 31, 2019. The increase in gross profit is primarily attributable to increased contributions from maintenance and storage programs, along with higher gross profit driven by the acquisition of Aircraft Composite Technologies (“ACT”) in January 2020, which generated revenues of $6.6 million and gross profit of $3.8 million. Gross profit margin increased by 20 bps to 21.3% for the year ended December 31, 2020 compared to 21.1% for the year ended December 31, 2019, and was largely attributable to an overall change in the product mix of the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excluding the transaction costs, decreased $4.2 million, or 7.0% to $55.6 million for the year ended December 31, 2020, as compared to $59.8 million for the year ended December 31, 2019. The decrease is the direct result of cost saving initiatives implemented in response to the COVID-19 pandemic, partially offset by the Qwest and ACT acquisitions in June 2019 and January 2020, respectively, which represent $3.1 million of the balance for the year ended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 Proceeds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Coronavirus Aid, Relief and Economic Security Act (“CARES Act”) was signed into law on March 27, 2020 and is intended to assist the economy by issuing a relief package to preserve jobs in industries adversely impacted by the COVID-19 outbreak. On June 8, 2020, the Company entered into an agreement with the U.S. Department of the Treasury to receive $16.4 million in emergency relief through the CARES Act payroll support program (“PSP1”) to be paid in installments. The proceeds of the grant are recorded within accrued expenses when received and are recognized as CARES Act proceeds in the statement of operations over the periods that the funds are intended to compensate. As of December 31, 2020, we had received $12.7 million in grant proceeds under the CARES Act payroll support program and this amount has been recognized as CARES Act proceeds in the statement of operations. We received the remaining balance of PSP1 during the first quarter of 2021.</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231F20"/>
        </w:rPr>
        <w:t>As part of the Payroll Support Extension Law (“PSP Extension Law”), we entered into a new agreement with the U.S. Department of the Treasury (“PSP2”) on March 4, 2021 for the receipt of relief funds of $5.5 million. In connection with the financial assistance we have received under the Payroll Support Program, we are required to comply with certain provisions of the CARES Act, including the requirement that funds provided pursuant to the Payroll Support Program be used exclusively for the continuation of payment of employee wages, salaries and benefits; the requirement against involuntary terminations and furloughs and reductions in employee pay rates and benefits from the signing date of the Payroll Support Program agreement through March 31, 2021. The agreement requires us to issue a recall to any employee who was terminated or furloughed between October 1, 2020 and March 4, 2021 and enable such employee to return to employment. In addition, we are subject to provisions prohibiting the repurchase of common stock and the payment of common stock dividends through March 31, 2022, as well as limitations on the payment of certain employee compensation through October 1, 2022. These restrictions may affect our operations and if we do not comply with these provisions, we may be required to reimburse up to 100% of any previously received relief funds.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Transaction Costs (Recovered) Incurred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Transaction costs recovered for the year ended December 31, 2020, were $1.4 million, as compared to costs incurred of $3.2 million for the year ended December 31, 2019. The recovery during 2020 is related to the release of consulting fees previously accrued for and expensed in 2019 but recorded as a reduction of equity in December 2020 when paid upon the closing of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expense decreased to $1.6 million for the year ended December 31, 2020, as compared to $3.0 million for the year ended December 31, 2019. As of December 31, 2020, AerSale had no outstanding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effective tax rate from continuing operations for the year ended December 31, 2020 was 16.3% compared to 21.2% for the year ended December 31, 2019. The decrease in effective tax rate was mainly a result of an increase in favorable permanent differences related to the transaction costs paid in 2020. The difference between the effective tax rate and the statutory tax rate of 21% for the year ended December 31, 2020 is primarily due to the impact of state income taxes, and permanent differences related to transaction costs and meals and entertainment expenses, amongst others. The difference between the effective tax rate and the statutory tax rate of 21% for the year ended December 31, 2019 was primarily due to the impact of state and foreign income taxes, and return to provision adjustments.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AerSale had $29.3 million of cash and cash equivalents. AerSale finances its growth through cash flows generated from operations and borrowings secured by AerSale’s assets. Cash derived from borrowings amounted to $96.7 million for the year ended December 31, 2020, compared to $77.7 million, for the year ended December 31, 2019. In the same time periods $96.7 million and $77.7 million, respectively, was used to pay down related debt. The Company also received additional paid in capital resulting from the Merger in the amount of $48.6 million. As of December 31, 2020, AerSale had no outstanding debt balance.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Flows—year ended December 31, 2020 compared to year ended December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operating activities was $12.2 million for the year ended December 31, 2020 compared to cash provided of $45.5 million for the same period in 2019. The decrease of $57.7 million was primarily attributable to the timing of inventory purchases, which was primarily driven by the acquisition of Flight Equipment, as well as lower collections of trade receivables, and lower results from operations excluding non-cash items.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cash used in investing activities was $21.1 million for the year ended December 31, 2020, compared to cash used of $62.1 million in the same period for 2019. Cash used during the year ended December 31, 2020 is primarily related to a business acquisition totaling $17.0 million. The decrease in cash used during the year ended December 31, 2020 when compared to prior year is primarily related to lower acquisition of Flight Equipment to support the leasing portion of the Asset Management Solutions segment in 2020, along with lower cash expended for business acquisitions.</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provided by financing activities for the year ended December 31, 2020 was $45.2 million, compared to cash used of $5.5 million in the same period for 2019. The cash provided by financing activities for the year ended December 31, 2020 is driven by additional paid in capital resulting from the Merger in the amount of $48.6 million, net of debt repayments, including full settlement of the Company’s long-term debt note. The cash used in financing activities for the year ended December 31, 2019 is primarily driven by the repayment of long-term debt from available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 and Covenant Compliance</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July 2018, AerSale’s revolving credit agreement (the “Revolving Credit Agreement”) was amended and restated to, among other things, provide a $110.0 million aggregate amount of revolver commitments subject to borrowing base limitations and extend, subject to certain conditions, the maturity date to July 20, 2021.</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Revolving Credit Agreement provides commitments for a $110.0 million revolving credit facility and includes a $10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 The commitments under the Revolving Credit Agreement terminate on July 20, 2021, at which time all outstanding amounts on the Revolving Credit Agreement will be due and payable. Management has engaged in discussions with multiple banking institutions including the incumbent, Wells Fargo, who has expressed its intent to renew the existing facility. Management is evaluating the Wells Fargo offer along with proposals from other sources of financing.</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there was no outstanding balance under the Revolving Credit Agreement and AerSale had $83.7 million of availability thereunder. AerSale was in compliance with its debt covenants as of December 31, 2020.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March 12, 2021, the Company amended its Revolving Credit Agreement to provide a $150.0 million aggregate amount of revolver commitments subject to borrowing base limitations and extend, subject to certain conditions, the maturity date to March 12,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Repayments of AerSale’s gross debt obligations primarily consist of scheduled installments due under term loans and are funded by the use of unrestricted cash reserves and from cash flows from ongoing operations. The table below summarizes AerSale’s contractual commitments at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8"/>
                <w:szCs w:val="18"/>
                <w:b w:val="1"/>
                <w:bCs w:val="1"/>
                <w:color w:val="auto"/>
              </w:rPr>
              <w:t>Payment due by period (in thousands)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88"/>
              </w:rPr>
              <w:t>Less than</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r>
      <w:tr>
        <w:trPr>
          <w:trHeight w:val="234"/>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1 Year</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1-3 Years</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3-5 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5 Years</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$110.0 million Senior Secured Revolving Credit Facility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Revolving Credit Facility - Interest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$35.0 million Senior Secured Notes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Senior Secured Notes Payable - Interest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19,857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Capital Lease Commitments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0" w:name="page41"/>
    <w:bookmarkEnd w:id="40"/>
    <w:p>
      <w:pPr>
        <w:jc w:val="both"/>
        <w:ind w:firstLine="648"/>
        <w:spacing w:after="0" w:line="259" w:lineRule="auto"/>
        <w:rPr>
          <w:sz w:val="20"/>
          <w:szCs w:val="20"/>
          <w:color w:val="auto"/>
        </w:rPr>
      </w:pPr>
      <w:r>
        <w:rPr>
          <w:rFonts w:ascii="Arial" w:cs="Arial" w:eastAsia="Arial" w:hAnsi="Arial"/>
          <w:sz w:val="18"/>
          <w:szCs w:val="18"/>
          <w:color w:val="auto"/>
        </w:rPr>
        <w:t>As of December 31, 2020, the Company has purchase commitments for the acquisition of Flight Equipment, specifically Boeing 757-200 passenger aircraft, in the amount of $45.9 million to be fulfilled by the first quarter of 2021, of which a 10% deposit has been paid. The aircraft are stored at our heavy MRO facility located at the Roswell Air Center in New Mexico and are equipped with Rolls-Royce RB211-535 series engines, and an additional six spares are included in the purchase.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AerSale believes its equity base, internally generated funds, and existing debt facilities are sufficient to maintain its level of operations, as well as the purchase commitments of $45.9 million noted above, through December 31, 2021. If an event occurs that would affect AerSale’s ability to meet its capital requirements, AerSale’s ability to continue to grow AerSale’s asset base consistent with historical trends could be impaired and AerSale’s future growth limited to that which can be funded from internally generated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December 31, 2020.</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AerSale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720"/>
        <w:spacing w:after="0" w:line="296" w:lineRule="auto"/>
        <w:rPr>
          <w:sz w:val="20"/>
          <w:szCs w:val="20"/>
          <w:color w:val="auto"/>
        </w:rPr>
      </w:pPr>
      <w:r>
        <w:rPr>
          <w:rFonts w:ascii="Arial" w:cs="Arial" w:eastAsia="Arial" w:hAnsi="Arial"/>
          <w:sz w:val="16"/>
          <w:szCs w:val="16"/>
          <w:color w:val="auto"/>
        </w:rPr>
        <w:t>We have audited the accompanying consolidated balance sheets of AerSale Corporation and subsidiaries (the “Company”) as of December 31, 2020 and 2019, the related consolidated statements of operations, stockholders’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8300" w:type="dxa"/>
            <w:vAlign w:val="bottom"/>
          </w:tcPr>
          <w:p>
            <w:pPr>
              <w:ind w:left="3620"/>
              <w:spacing w:after="0"/>
              <w:rPr>
                <w:sz w:val="20"/>
                <w:szCs w:val="20"/>
                <w:color w:val="auto"/>
              </w:rPr>
            </w:pPr>
            <w:r>
              <w:rPr>
                <w:rFonts w:ascii="Arial" w:cs="Arial" w:eastAsia="Arial" w:hAnsi="Arial"/>
                <w:sz w:val="18"/>
                <w:szCs w:val="18"/>
                <w:b w:val="1"/>
                <w:bCs w:val="1"/>
                <w:color w:val="auto"/>
              </w:rPr>
              <w:t>AERSALE CORPORATION AND SUBSIDIARIES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300" w:type="dxa"/>
            <w:vAlign w:val="bottom"/>
          </w:tcPr>
          <w:p>
            <w:pPr>
              <w:ind w:left="4520"/>
              <w:spacing w:after="0"/>
              <w:rPr>
                <w:sz w:val="20"/>
                <w:szCs w:val="20"/>
                <w:color w:val="auto"/>
              </w:rPr>
            </w:pPr>
            <w:r>
              <w:rPr>
                <w:rFonts w:ascii="Arial" w:cs="Arial" w:eastAsia="Arial" w:hAnsi="Arial"/>
                <w:sz w:val="18"/>
                <w:szCs w:val="18"/>
                <w:b w:val="1"/>
                <w:bCs w:val="1"/>
                <w:color w:val="auto"/>
              </w:rPr>
              <w:t>Consolidated Balance Sheets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3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29,316,946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17,505,002</w:t>
            </w:r>
          </w:p>
        </w:tc>
      </w:tr>
      <w:tr>
        <w:trPr>
          <w:trHeight w:val="202"/>
        </w:trPr>
        <w:tc>
          <w:tcPr>
            <w:tcW w:w="8300" w:type="dxa"/>
            <w:vAlign w:val="bottom"/>
          </w:tcPr>
          <w:p>
            <w:pPr>
              <w:ind w:left="180"/>
              <w:spacing w:after="0" w:line="201" w:lineRule="exact"/>
              <w:rPr>
                <w:sz w:val="20"/>
                <w:szCs w:val="20"/>
                <w:color w:val="auto"/>
              </w:rPr>
            </w:pPr>
            <w:r>
              <w:rPr>
                <w:rFonts w:ascii="Arial" w:cs="Arial" w:eastAsia="Arial" w:hAnsi="Arial"/>
                <w:sz w:val="18"/>
                <w:szCs w:val="18"/>
                <w:color w:val="auto"/>
                <w:w w:val="91"/>
              </w:rPr>
              <w:t>Accounts receivable, net of allowance for doubtful accounts of $1,652,000 and $1,545,000 as of December 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2020 and 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50,214,991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51,867,653</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ind w:left="340"/>
              <w:spacing w:after="0"/>
              <w:rPr>
                <w:sz w:val="20"/>
                <w:szCs w:val="20"/>
                <w:color w:val="auto"/>
              </w:rPr>
            </w:pPr>
            <w:r>
              <w:rPr>
                <w:rFonts w:ascii="Arial" w:cs="Arial" w:eastAsia="Arial" w:hAnsi="Arial"/>
                <w:sz w:val="18"/>
                <w:szCs w:val="18"/>
                <w:color w:val="auto"/>
              </w:rPr>
              <w:t>Aircraft, airframes, engines, and parts,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85,191,747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57,918,723</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 vendor payments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6,205,479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3,247,255</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Due from related party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474,257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6,130,990</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 prepaid expenses, and other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7,560,391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5,116,175</w:t>
            </w:r>
          </w:p>
        </w:tc>
        <w:tc>
          <w:tcPr>
            <w:tcW w:w="80" w:type="dxa"/>
            <w:vAlign w:val="bottom"/>
            <w:shd w:val="clear" w:color="auto" w:fill="CCEEFF"/>
          </w:tcPr>
          <w:p>
            <w:pPr>
              <w:spacing w:after="0"/>
              <w:rPr>
                <w:sz w:val="18"/>
                <w:szCs w:val="18"/>
                <w:color w:val="auto"/>
              </w:rPr>
            </w:pPr>
          </w:p>
        </w:tc>
      </w:tr>
      <w:tr>
        <w:trPr>
          <w:trHeight w:val="209"/>
        </w:trPr>
        <w:tc>
          <w:tcPr>
            <w:tcW w:w="830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178,963,811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141,785,798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Aircraft and engines held for lease,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86,844,145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111,896,294</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7,839,045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7,461,792</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airframes, engines, and parts,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55,463,352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37,043,804</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5,707,912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4,753,679</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366,750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1,034,564</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Deferred customer incentives and other assets,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270,782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324,869</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5,449,739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5,449,739</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19,860,168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13,858,551</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28,363,988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20,375,166</w:t>
            </w:r>
          </w:p>
        </w:tc>
      </w:tr>
      <w:tr>
        <w:trPr>
          <w:trHeight w:val="249"/>
        </w:trPr>
        <w:tc>
          <w:tcPr>
            <w:tcW w:w="83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389,129,692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343,984,256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8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16,363,699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17,030,404</w:t>
            </w: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8,576,941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9,629,084</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payable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1,324,481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Lessee and customer purchase deposits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2,819,987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3,473,921</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3,351,714</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2,594,979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7,708,761</w:t>
            </w:r>
          </w:p>
        </w:tc>
        <w:tc>
          <w:tcPr>
            <w:tcW w:w="80" w:type="dxa"/>
            <w:vAlign w:val="bottom"/>
          </w:tcPr>
          <w:p>
            <w:pPr>
              <w:spacing w:after="0"/>
              <w:rPr>
                <w:sz w:val="18"/>
                <w:szCs w:val="18"/>
                <w:color w:val="auto"/>
              </w:rPr>
            </w:pPr>
          </w:p>
        </w:tc>
      </w:tr>
      <w:tr>
        <w:trPr>
          <w:trHeight w:val="209"/>
        </w:trPr>
        <w:tc>
          <w:tcPr>
            <w:tcW w:w="83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31,680,087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41,193,884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Long-term lease deposits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1,144,935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4,184,874</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Maintenance deposit payments and other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3,663,571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4,620,133</w:t>
            </w:r>
          </w:p>
        </w:tc>
        <w:tc>
          <w:tcPr>
            <w:tcW w:w="80" w:type="dxa"/>
            <w:vAlign w:val="bottom"/>
          </w:tcPr>
          <w:p>
            <w:pPr>
              <w:spacing w:after="0"/>
              <w:rPr>
                <w:sz w:val="18"/>
                <w:szCs w:val="18"/>
                <w:color w:val="auto"/>
              </w:rPr>
            </w:pPr>
          </w:p>
        </w:tc>
      </w:tr>
      <w:tr>
        <w:trPr>
          <w:trHeight w:val="210"/>
        </w:trPr>
        <w:tc>
          <w:tcPr>
            <w:tcW w:w="83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36,488,593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49,998,891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30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stock, $0.0001 par value. Authorized 200,000,000 shares; issued and outstanding 41,046,216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and 5,285,054 shares, respectively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529</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293,390,354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243,220,709</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59,246,640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50,764,127</w:t>
            </w:r>
          </w:p>
        </w:tc>
      </w:tr>
      <w:tr>
        <w:trPr>
          <w:trHeight w:val="209"/>
        </w:trPr>
        <w:tc>
          <w:tcPr>
            <w:tcW w:w="83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352,641,099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293,985,365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30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389,129,692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343,984,256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8460" w:type="dxa"/>
            <w:vAlign w:val="bottom"/>
            <w:gridSpan w:val="5"/>
          </w:tcPr>
          <w:p>
            <w:pPr>
              <w:ind w:left="3620"/>
              <w:spacing w:after="0"/>
              <w:rPr>
                <w:sz w:val="20"/>
                <w:szCs w:val="20"/>
                <w:color w:val="auto"/>
              </w:rPr>
            </w:pPr>
            <w:r>
              <w:rPr>
                <w:rFonts w:ascii="Arial" w:cs="Arial" w:eastAsia="Arial" w:hAnsi="Arial"/>
                <w:sz w:val="18"/>
                <w:szCs w:val="18"/>
                <w:b w:val="1"/>
                <w:bCs w:val="1"/>
                <w:color w:val="auto"/>
              </w:rPr>
              <w:t>AERSALE CORPORATION AND SUBSIDIARIES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40" w:type="dxa"/>
            <w:vAlign w:val="bottom"/>
            <w:gridSpan w:val="3"/>
          </w:tcPr>
          <w:p>
            <w:pPr>
              <w:ind w:left="4120"/>
              <w:spacing w:after="0"/>
              <w:rPr>
                <w:sz w:val="20"/>
                <w:szCs w:val="20"/>
                <w:color w:val="auto"/>
              </w:rPr>
            </w:pPr>
            <w:r>
              <w:rPr>
                <w:rFonts w:ascii="Arial" w:cs="Arial" w:eastAsia="Arial" w:hAnsi="Arial"/>
                <w:sz w:val="18"/>
                <w:szCs w:val="18"/>
                <w:b w:val="1"/>
                <w:bCs w:val="1"/>
                <w:color w:val="auto"/>
                <w:w w:val="91"/>
              </w:rPr>
              <w:t>Consolidated Statements of Operations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Products</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49,390,126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170,566,047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178,580,286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Leasing</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55,649,323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64,245,884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73,372,413</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103,898,798</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69,389,272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38,779,350</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208,938,247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304,201,203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290,732,049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Pr>
          <w:p>
            <w:pPr>
              <w:spacing w:after="0"/>
              <w:rPr>
                <w:sz w:val="20"/>
                <w:szCs w:val="20"/>
                <w:color w:val="auto"/>
              </w:rPr>
            </w:pPr>
            <w:r>
              <w:rPr>
                <w:rFonts w:ascii="Arial" w:cs="Arial" w:eastAsia="Arial" w:hAnsi="Arial"/>
                <w:sz w:val="18"/>
                <w:szCs w:val="18"/>
                <w:color w:val="auto"/>
              </w:rPr>
              <w:t>Cost of sales and operating expenses: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49,889,691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131,671,553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157,524,530</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Cost of leasing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24,243,806</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29,217,035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29,077,463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82,015,605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58,263,856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31,961,251</w:t>
            </w:r>
          </w:p>
        </w:tc>
        <w:tc>
          <w:tcPr>
            <w:tcW w:w="0" w:type="dxa"/>
            <w:vAlign w:val="bottom"/>
          </w:tcPr>
          <w:p>
            <w:pPr>
              <w:spacing w:after="0"/>
              <w:rPr>
                <w:sz w:val="1"/>
                <w:szCs w:val="1"/>
                <w:color w:val="auto"/>
              </w:rPr>
            </w:pPr>
          </w:p>
        </w:tc>
      </w:tr>
      <w:tr>
        <w:trPr>
          <w:trHeight w:val="210"/>
        </w:trPr>
        <w:tc>
          <w:tcPr>
            <w:tcW w:w="6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cost of sales</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156,149,102</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219,152,444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218,563,244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52,789,145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85,048,759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72,168,805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55,634,855</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59,813,607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46,611,982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CARES Act proceeds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(12,692,702)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Transaction costs (recovered) incurred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(1,435,705)</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3,176,797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51,360</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11,282,697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22,058,355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25,505,463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color w:val="auto"/>
              </w:rPr>
              <w:t>Other income (expenses):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(1,644,969)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(3,006,663)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(2,374,881)</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494,465</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611,109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367,806</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(1,150,504)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(2,395,554)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(2,007,075)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ind w:left="500"/>
              <w:spacing w:after="0"/>
              <w:rPr>
                <w:sz w:val="20"/>
                <w:szCs w:val="20"/>
                <w:color w:val="auto"/>
              </w:rPr>
            </w:pPr>
            <w:r>
              <w:rPr>
                <w:rFonts w:ascii="Arial" w:cs="Arial" w:eastAsia="Arial" w:hAnsi="Arial"/>
                <w:sz w:val="18"/>
                <w:szCs w:val="18"/>
                <w:color w:val="auto"/>
              </w:rPr>
              <w:t>Income from continuing operations before income tax provision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10,132,193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19,662,801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23,498,388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(1,649,680)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(4,163,663)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3,227,061</w:t>
            </w:r>
          </w:p>
        </w:tc>
        <w:tc>
          <w:tcPr>
            <w:tcW w:w="0" w:type="dxa"/>
            <w:vAlign w:val="bottom"/>
          </w:tcPr>
          <w:p>
            <w:pPr>
              <w:spacing w:after="0"/>
              <w:rPr>
                <w:sz w:val="1"/>
                <w:szCs w:val="1"/>
                <w:color w:val="auto"/>
              </w:rPr>
            </w:pPr>
          </w:p>
        </w:tc>
      </w:tr>
      <w:tr>
        <w:trPr>
          <w:trHeight w:val="209"/>
        </w:trPr>
        <w:tc>
          <w:tcPr>
            <w:tcW w:w="6780" w:type="dxa"/>
            <w:vAlign w:val="bottom"/>
          </w:tcPr>
          <w:p>
            <w:pPr>
              <w:ind w:left="500"/>
              <w:spacing w:after="0"/>
              <w:rPr>
                <w:sz w:val="20"/>
                <w:szCs w:val="20"/>
                <w:color w:val="auto"/>
              </w:rPr>
            </w:pPr>
            <w:r>
              <w:rPr>
                <w:rFonts w:ascii="Arial" w:cs="Arial" w:eastAsia="Arial" w:hAnsi="Arial"/>
                <w:sz w:val="18"/>
                <w:szCs w:val="18"/>
                <w:color w:val="auto"/>
              </w:rPr>
              <w:t>Net income from continuing operations</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8,482,513</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15,499,138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26,725,449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22,640,442</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Loss on deconsolidation of discontinued operations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(1,380,102)</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discontinued operations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21,260,340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8,482,513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15,499,138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47,985,789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39,132,578</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AerSale Corporation</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8,482,513</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15,499,138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8,853,211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Dividends attributable to preferred stockholders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34,632,836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33,577,536</w:t>
            </w:r>
          </w:p>
        </w:tc>
        <w:tc>
          <w:tcPr>
            <w:tcW w:w="0" w:type="dxa"/>
            <w:vAlign w:val="bottom"/>
          </w:tcPr>
          <w:p>
            <w:pPr>
              <w:spacing w:after="0"/>
              <w:rPr>
                <w:sz w:val="1"/>
                <w:szCs w:val="1"/>
                <w:color w:val="auto"/>
              </w:rPr>
            </w:pPr>
          </w:p>
        </w:tc>
      </w:tr>
      <w:tr>
        <w:trPr>
          <w:trHeight w:val="182"/>
        </w:trPr>
        <w:tc>
          <w:tcPr>
            <w:tcW w:w="6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Net income (loss) from continuing operations attributable to AerSale Corporation common</w:t>
            </w: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8,482,513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(19,133,698)</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(24,724,325)</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Earnings (loss) from continuing operations</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(516.98)</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(482.90)</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180"/>
              <w:spacing w:after="0"/>
              <w:rPr>
                <w:sz w:val="20"/>
                <w:szCs w:val="20"/>
                <w:color w:val="auto"/>
              </w:rPr>
            </w:pPr>
            <w:r>
              <w:rPr>
                <w:rFonts w:ascii="Arial" w:cs="Arial" w:eastAsia="Arial" w:hAnsi="Arial"/>
                <w:sz w:val="18"/>
                <w:szCs w:val="18"/>
                <w:color w:val="auto"/>
              </w:rPr>
              <w:t>Earnings (loss) per share - basic</w:t>
            </w:r>
          </w:p>
        </w:tc>
        <w:tc>
          <w:tcPr>
            <w:tcW w:w="2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8.09</w:t>
            </w:r>
          </w:p>
        </w:tc>
        <w:tc>
          <w:tcPr>
            <w:tcW w:w="220" w:type="dxa"/>
            <w:vAlign w:val="bottom"/>
            <w:vMerge w:val="continue"/>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(516.98)</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(668.04)</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Earnings (loss) per share - diluted: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(loss) from continuing operations</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(516.98)</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(482.90)</w:t>
            </w:r>
          </w:p>
        </w:tc>
        <w:tc>
          <w:tcPr>
            <w:tcW w:w="0" w:type="dxa"/>
            <w:vAlign w:val="bottom"/>
          </w:tcPr>
          <w:p>
            <w:pPr>
              <w:spacing w:after="0"/>
              <w:rPr>
                <w:sz w:val="1"/>
                <w:szCs w:val="1"/>
                <w:color w:val="auto"/>
              </w:rPr>
            </w:pPr>
          </w:p>
        </w:tc>
      </w:tr>
      <w:tr>
        <w:trPr>
          <w:trHeight w:val="20"/>
        </w:trPr>
        <w:tc>
          <w:tcPr>
            <w:tcW w:w="67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Earnings (loss) per share - diluted</w:t>
            </w: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(516.98)</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(668.04)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w w:val="97"/>
              </w:rPr>
              <w:t>AerSale Corporation Stockholders</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Additional</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AerSale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w w:val="93"/>
              </w:rPr>
              <w:t>Preferred stock</w:t>
            </w:r>
          </w:p>
        </w:tc>
        <w:tc>
          <w:tcPr>
            <w:tcW w:w="200" w:type="dxa"/>
            <w:vAlign w:val="bottom"/>
          </w:tcPr>
          <w:p>
            <w:pPr>
              <w:spacing w:after="0"/>
              <w:rPr>
                <w:sz w:val="21"/>
                <w:szCs w:val="21"/>
                <w:color w:val="auto"/>
              </w:rPr>
            </w:pPr>
          </w:p>
        </w:tc>
        <w:tc>
          <w:tcPr>
            <w:tcW w:w="1720" w:type="dxa"/>
            <w:vAlign w:val="bottom"/>
            <w:gridSpan w:val="4"/>
          </w:tcPr>
          <w:p>
            <w:pPr>
              <w:ind w:left="14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1"/>
                <w:szCs w:val="21"/>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paid-in</w:t>
            </w: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Retained</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stockholders’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5"/>
              </w:rPr>
              <w:t>Noncontrolling</w:t>
            </w:r>
          </w:p>
        </w:tc>
      </w:tr>
      <w:tr>
        <w:trPr>
          <w:trHeight w:val="223"/>
        </w:trPr>
        <w:tc>
          <w:tcPr>
            <w:tcW w:w="2580" w:type="dxa"/>
            <w:vAlign w:val="bottom"/>
          </w:tcPr>
          <w:p>
            <w:pPr>
              <w:spacing w:after="0"/>
              <w:rPr>
                <w:sz w:val="19"/>
                <w:szCs w:val="19"/>
                <w:color w:val="auto"/>
              </w:rPr>
            </w:pPr>
          </w:p>
        </w:tc>
        <w:tc>
          <w:tcPr>
            <w:tcW w:w="9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7"/>
              </w:rPr>
              <w:t>Amount</w:t>
            </w:r>
          </w:p>
        </w:tc>
        <w:tc>
          <w:tcPr>
            <w:tcW w:w="7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Shares</w:t>
            </w:r>
          </w:p>
        </w:tc>
        <w:tc>
          <w:tcPr>
            <w:tcW w:w="200" w:type="dxa"/>
            <w:vAlign w:val="bottom"/>
          </w:tcPr>
          <w:p>
            <w:pPr>
              <w:spacing w:after="0"/>
              <w:rPr>
                <w:sz w:val="19"/>
                <w:szCs w:val="19"/>
                <w:color w:val="auto"/>
              </w:rPr>
            </w:pPr>
          </w:p>
        </w:tc>
        <w:tc>
          <w:tcPr>
            <w:tcW w:w="9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7"/>
              </w:rPr>
              <w:t>Amount</w:t>
            </w:r>
          </w:p>
        </w:tc>
        <w:tc>
          <w:tcPr>
            <w:tcW w:w="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capital</w:t>
            </w: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earnings</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equity</w:t>
            </w:r>
          </w:p>
        </w:tc>
        <w:tc>
          <w:tcPr>
            <w:tcW w:w="1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interests</w:t>
            </w:r>
          </w:p>
        </w:tc>
      </w:tr>
      <w:tr>
        <w:trPr>
          <w:trHeight w:val="182"/>
        </w:trPr>
        <w:tc>
          <w:tcPr>
            <w:tcW w:w="2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2"/>
              </w:rPr>
              <w:t>Balance at December 31, 2017 (as</w:t>
            </w: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previously reported)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$243,218,738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$25,695,345</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$ 268,916,583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(39,132,578)</w:t>
            </w: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Conversion of shares due to</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580" w:type="dxa"/>
            <w:vAlign w:val="bottom"/>
          </w:tcPr>
          <w:p>
            <w:pPr>
              <w:ind w:left="180"/>
              <w:spacing w:after="0"/>
              <w:rPr>
                <w:sz w:val="20"/>
                <w:szCs w:val="20"/>
                <w:color w:val="auto"/>
              </w:rPr>
            </w:pPr>
            <w:r>
              <w:rPr>
                <w:rFonts w:ascii="Arial" w:cs="Arial" w:eastAsia="Arial" w:hAnsi="Arial"/>
                <w:sz w:val="18"/>
                <w:szCs w:val="18"/>
                <w:color w:val="auto"/>
              </w:rPr>
              <w:t>merger recapitalization</w:t>
            </w:r>
          </w:p>
        </w:tc>
        <w:tc>
          <w:tcPr>
            <w:tcW w:w="16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5,235,054</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1,971</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82"/>
        </w:trPr>
        <w:tc>
          <w:tcPr>
            <w:tcW w:w="2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effect of reverse merger (Refer</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Note N)</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5,285,054</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$243,220,709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$25,695,345</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$ 268,916,583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(39,132,578)</w:t>
            </w: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Net income attributable to</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58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39,132,578</w:t>
            </w: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from continuing</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attributable to</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AerSale Corporation</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8,853,211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8,853,211</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58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Borders>
              <w:top w:val="single" w:sz="8" w:color="auto"/>
            </w:tcBorders>
          </w:tcPr>
          <w:p>
            <w:pPr>
              <w:ind w:left="68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5,285,054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$243,220,709</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$34,548,556</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$ 277,769,794</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 adjustment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upon adoption of ASC 606 on</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January 1, 2019</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716,433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716,433</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Net income from continuing</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80" w:type="dxa"/>
            <w:vAlign w:val="bottom"/>
          </w:tcPr>
          <w:p>
            <w:pPr>
              <w:ind w:left="180"/>
              <w:spacing w:after="0"/>
              <w:rPr>
                <w:sz w:val="20"/>
                <w:szCs w:val="20"/>
                <w:color w:val="auto"/>
              </w:rPr>
            </w:pPr>
            <w:r>
              <w:rPr>
                <w:rFonts w:ascii="Arial" w:cs="Arial" w:eastAsia="Arial" w:hAnsi="Arial"/>
                <w:sz w:val="18"/>
                <w:szCs w:val="18"/>
                <w:color w:val="auto"/>
              </w:rPr>
              <w:t>operations attributable to</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2580" w:type="dxa"/>
            <w:vAlign w:val="bottom"/>
          </w:tcPr>
          <w:p>
            <w:pPr>
              <w:ind w:left="180"/>
              <w:spacing w:after="0"/>
              <w:rPr>
                <w:sz w:val="20"/>
                <w:szCs w:val="20"/>
                <w:color w:val="auto"/>
              </w:rPr>
            </w:pPr>
            <w:r>
              <w:rPr>
                <w:rFonts w:ascii="Arial" w:cs="Arial" w:eastAsia="Arial" w:hAnsi="Arial"/>
                <w:sz w:val="18"/>
                <w:szCs w:val="18"/>
                <w:color w:val="auto"/>
              </w:rPr>
              <w:t>AerSale Corporation</w:t>
            </w:r>
          </w:p>
        </w:tc>
        <w:tc>
          <w:tcPr>
            <w:tcW w:w="1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15,499,138</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15,499,138</w:t>
            </w: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5,285,054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$243,220,709</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$50,764,127</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$ 293,985,365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Effect of reverse merger, net of</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580" w:type="dxa"/>
            <w:vAlign w:val="bottom"/>
          </w:tcPr>
          <w:p>
            <w:pPr>
              <w:ind w:left="180"/>
              <w:spacing w:after="0"/>
              <w:rPr>
                <w:sz w:val="20"/>
                <w:szCs w:val="20"/>
                <w:color w:val="auto"/>
              </w:rPr>
            </w:pPr>
            <w:r>
              <w:rPr>
                <w:rFonts w:ascii="Arial" w:cs="Arial" w:eastAsia="Arial" w:hAnsi="Arial"/>
                <w:sz w:val="18"/>
                <w:szCs w:val="18"/>
                <w:color w:val="auto"/>
              </w:rPr>
              <w:t>closing costs of $10,742,000</w:t>
            </w: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3,566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35,656,859</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49,127,199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49,130,765</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104,303</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1,042,446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1,042,456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Net income from continuing</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80" w:type="dxa"/>
            <w:vAlign w:val="bottom"/>
          </w:tcPr>
          <w:p>
            <w:pPr>
              <w:ind w:left="180"/>
              <w:spacing w:after="0"/>
              <w:rPr>
                <w:sz w:val="20"/>
                <w:szCs w:val="20"/>
                <w:color w:val="auto"/>
              </w:rPr>
            </w:pPr>
            <w:r>
              <w:rPr>
                <w:rFonts w:ascii="Arial" w:cs="Arial" w:eastAsia="Arial" w:hAnsi="Arial"/>
                <w:sz w:val="18"/>
                <w:szCs w:val="18"/>
                <w:color w:val="auto"/>
              </w:rPr>
              <w:t>operations attributable to</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2580" w:type="dxa"/>
            <w:vAlign w:val="bottom"/>
          </w:tcPr>
          <w:p>
            <w:pPr>
              <w:ind w:left="180"/>
              <w:spacing w:after="0"/>
              <w:rPr>
                <w:sz w:val="20"/>
                <w:szCs w:val="20"/>
                <w:color w:val="auto"/>
              </w:rPr>
            </w:pPr>
            <w:r>
              <w:rPr>
                <w:rFonts w:ascii="Arial" w:cs="Arial" w:eastAsia="Arial" w:hAnsi="Arial"/>
                <w:sz w:val="18"/>
                <w:szCs w:val="18"/>
                <w:color w:val="auto"/>
              </w:rPr>
              <w:t>AerSale Corporation</w:t>
            </w:r>
          </w:p>
        </w:tc>
        <w:tc>
          <w:tcPr>
            <w:tcW w:w="1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8,482,513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8,482,513</w:t>
            </w: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41,046,216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293,390,354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59,246,640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$ 352,641,099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8460" w:type="dxa"/>
            <w:vAlign w:val="bottom"/>
            <w:gridSpan w:val="5"/>
          </w:tcPr>
          <w:p>
            <w:pPr>
              <w:ind w:left="3620"/>
              <w:spacing w:after="0"/>
              <w:rPr>
                <w:sz w:val="20"/>
                <w:szCs w:val="20"/>
                <w:color w:val="auto"/>
              </w:rPr>
            </w:pPr>
            <w:r>
              <w:rPr>
                <w:rFonts w:ascii="Arial" w:cs="Arial" w:eastAsia="Arial" w:hAnsi="Arial"/>
                <w:sz w:val="18"/>
                <w:szCs w:val="18"/>
                <w:b w:val="1"/>
                <w:bCs w:val="1"/>
                <w:color w:val="auto"/>
              </w:rPr>
              <w:t>AERSALE CORPORATION AND SUBSIDIARIES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60" w:type="dxa"/>
            <w:vAlign w:val="bottom"/>
            <w:gridSpan w:val="3"/>
          </w:tcPr>
          <w:p>
            <w:pPr>
              <w:ind w:left="4100"/>
              <w:spacing w:after="0"/>
              <w:rPr>
                <w:sz w:val="20"/>
                <w:szCs w:val="20"/>
                <w:color w:val="auto"/>
              </w:rPr>
            </w:pPr>
            <w:r>
              <w:rPr>
                <w:rFonts w:ascii="Arial" w:cs="Arial" w:eastAsia="Arial" w:hAnsi="Arial"/>
                <w:sz w:val="18"/>
                <w:szCs w:val="18"/>
                <w:b w:val="1"/>
                <w:bCs w:val="1"/>
                <w:color w:val="auto"/>
                <w:w w:val="91"/>
              </w:rPr>
              <w:t>Consolidated Statements of Cash Flows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9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8,482,513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15,499,138</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26,725,449</w:t>
            </w:r>
          </w:p>
        </w:tc>
      </w:tr>
      <w:tr>
        <w:trPr>
          <w:trHeight w:val="202"/>
        </w:trPr>
        <w:tc>
          <w:tcPr>
            <w:tcW w:w="6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Adjustments to reconcile net income from continuing operations to net cash (used in)</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provided by operating activities:</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9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24,222,907</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30,080,936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29,826,222</w:t>
            </w:r>
          </w:p>
        </w:tc>
      </w:tr>
      <w:tr>
        <w:trPr>
          <w:trHeight w:val="216"/>
        </w:trPr>
        <w:tc>
          <w:tcPr>
            <w:tcW w:w="6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debt issuance costs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740,372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802,280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1,019,953</w:t>
            </w:r>
          </w:p>
        </w:tc>
      </w:tr>
      <w:tr>
        <w:trPr>
          <w:trHeight w:val="216"/>
        </w:trPr>
        <w:tc>
          <w:tcPr>
            <w:tcW w:w="6920" w:type="dxa"/>
            <w:vAlign w:val="bottom"/>
          </w:tcPr>
          <w:p>
            <w:pPr>
              <w:ind w:left="500"/>
              <w:spacing w:after="0"/>
              <w:rPr>
                <w:sz w:val="20"/>
                <w:szCs w:val="20"/>
                <w:color w:val="auto"/>
              </w:rPr>
            </w:pPr>
            <w:r>
              <w:rPr>
                <w:rFonts w:ascii="Arial" w:cs="Arial" w:eastAsia="Arial" w:hAnsi="Arial"/>
                <w:sz w:val="18"/>
                <w:szCs w:val="18"/>
                <w:color w:val="auto"/>
              </w:rPr>
              <w:t>Inventory impairment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13,651,271</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5,557,481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1,084,247</w:t>
            </w:r>
          </w:p>
        </w:tc>
      </w:tr>
      <w:tr>
        <w:trPr>
          <w:trHeight w:val="216"/>
        </w:trPr>
        <w:tc>
          <w:tcPr>
            <w:tcW w:w="6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Impairment of aircraft held for lease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3,035,578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211,696</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54,939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618,786</w:t>
            </w:r>
          </w:p>
        </w:tc>
      </w:tr>
      <w:tr>
        <w:trPr>
          <w:trHeight w:val="216"/>
        </w:trPr>
        <w:tc>
          <w:tcPr>
            <w:tcW w:w="6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2,461,865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(7,815,572)</w:t>
            </w:r>
          </w:p>
        </w:tc>
      </w:tr>
      <w:tr>
        <w:trPr>
          <w:trHeight w:val="216"/>
        </w:trPr>
        <w:tc>
          <w:tcPr>
            <w:tcW w:w="69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1,042,456</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operating assets and liabilities, net of acquisitions: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(2,586,940)</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(21,535,624)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(8,936,950)</w:t>
            </w:r>
          </w:p>
        </w:tc>
      </w:tr>
      <w:tr>
        <w:trPr>
          <w:trHeight w:val="216"/>
        </w:trPr>
        <w:tc>
          <w:tcPr>
            <w:tcW w:w="6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(55,275,418)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3,420,729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7,717,316</w:t>
            </w:r>
          </w:p>
        </w:tc>
      </w:tr>
      <w:tr>
        <w:trPr>
          <w:trHeight w:val="216"/>
        </w:trPr>
        <w:tc>
          <w:tcPr>
            <w:tcW w:w="6920" w:type="dxa"/>
            <w:vAlign w:val="bottom"/>
          </w:tcPr>
          <w:p>
            <w:pPr>
              <w:ind w:left="660"/>
              <w:spacing w:after="0"/>
              <w:rPr>
                <w:sz w:val="20"/>
                <w:szCs w:val="20"/>
                <w:color w:val="auto"/>
              </w:rPr>
            </w:pPr>
            <w:r>
              <w:rPr>
                <w:rFonts w:ascii="Arial" w:cs="Arial" w:eastAsia="Arial" w:hAnsi="Arial"/>
                <w:sz w:val="18"/>
                <w:szCs w:val="18"/>
                <w:color w:val="auto"/>
              </w:rPr>
              <w:t>Deposits, prepaid expenses, and other current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3,373,540</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(2,848,692)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190,347</w:t>
            </w:r>
          </w:p>
        </w:tc>
      </w:tr>
      <w:tr>
        <w:trPr>
          <w:trHeight w:val="216"/>
        </w:trPr>
        <w:tc>
          <w:tcPr>
            <w:tcW w:w="6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customer incentives and other assets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55,754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(3,580,770)</w:t>
            </w:r>
          </w:p>
        </w:tc>
      </w:tr>
      <w:tr>
        <w:trPr>
          <w:trHeight w:val="216"/>
        </w:trPr>
        <w:tc>
          <w:tcPr>
            <w:tcW w:w="6920" w:type="dxa"/>
            <w:vAlign w:val="bottom"/>
          </w:tcPr>
          <w:p>
            <w:pPr>
              <w:ind w:left="660"/>
              <w:spacing w:after="0"/>
              <w:rPr>
                <w:sz w:val="20"/>
                <w:szCs w:val="20"/>
                <w:color w:val="auto"/>
              </w:rPr>
            </w:pPr>
            <w:r>
              <w:rPr>
                <w:rFonts w:ascii="Arial" w:cs="Arial" w:eastAsia="Arial" w:hAnsi="Arial"/>
                <w:sz w:val="18"/>
                <w:szCs w:val="18"/>
                <w:color w:val="auto"/>
              </w:rPr>
              <w:t>Advance vendor payments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(2,958,224)</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(250,697)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341,797</w:t>
            </w:r>
          </w:p>
        </w:tc>
      </w:tr>
      <w:tr>
        <w:trPr>
          <w:trHeight w:val="216"/>
        </w:trPr>
        <w:tc>
          <w:tcPr>
            <w:tcW w:w="6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(800,943)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3,771,721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1,224,994</w:t>
            </w:r>
          </w:p>
        </w:tc>
      </w:tr>
      <w:tr>
        <w:trPr>
          <w:trHeight w:val="216"/>
        </w:trPr>
        <w:tc>
          <w:tcPr>
            <w:tcW w:w="6920" w:type="dxa"/>
            <w:vAlign w:val="bottom"/>
          </w:tcPr>
          <w:p>
            <w:pPr>
              <w:ind w:left="660"/>
              <w:spacing w:after="0"/>
              <w:rPr>
                <w:sz w:val="20"/>
                <w:szCs w:val="20"/>
                <w:color w:val="auto"/>
              </w:rPr>
            </w:pPr>
            <w:r>
              <w:rPr>
                <w:rFonts w:ascii="Arial" w:cs="Arial" w:eastAsia="Arial" w:hAnsi="Arial"/>
                <w:sz w:val="18"/>
                <w:szCs w:val="18"/>
                <w:color w:val="auto"/>
              </w:rPr>
              <w:t>Income tax receivable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850,844</w:t>
            </w:r>
          </w:p>
        </w:tc>
      </w:tr>
      <w:tr>
        <w:trPr>
          <w:trHeight w:val="216"/>
        </w:trPr>
        <w:tc>
          <w:tcPr>
            <w:tcW w:w="6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 payable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1,324,481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ind w:left="660"/>
              <w:spacing w:after="0"/>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(1,697,118)</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3,159,718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3,564,972</w:t>
            </w:r>
          </w:p>
        </w:tc>
      </w:tr>
      <w:tr>
        <w:trPr>
          <w:trHeight w:val="216"/>
        </w:trPr>
        <w:tc>
          <w:tcPr>
            <w:tcW w:w="6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revenue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(5,893,782)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1,748,328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4,152,140</w:t>
            </w:r>
          </w:p>
        </w:tc>
      </w:tr>
      <w:tr>
        <w:trPr>
          <w:trHeight w:val="216"/>
        </w:trPr>
        <w:tc>
          <w:tcPr>
            <w:tcW w:w="6920" w:type="dxa"/>
            <w:vAlign w:val="bottom"/>
          </w:tcPr>
          <w:p>
            <w:pPr>
              <w:ind w:left="660"/>
              <w:spacing w:after="0"/>
              <w:rPr>
                <w:sz w:val="20"/>
                <w:szCs w:val="20"/>
                <w:color w:val="auto"/>
              </w:rPr>
            </w:pPr>
            <w:r>
              <w:rPr>
                <w:rFonts w:ascii="Arial" w:cs="Arial" w:eastAsia="Arial" w:hAnsi="Arial"/>
                <w:sz w:val="18"/>
                <w:szCs w:val="18"/>
                <w:color w:val="auto"/>
              </w:rPr>
              <w:t>Lessee and customer purchase deposits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1,775,908</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2,822,894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1,411,814</w:t>
            </w:r>
          </w:p>
        </w:tc>
      </w:tr>
      <w:tr>
        <w:trPr>
          <w:trHeight w:val="230"/>
        </w:trPr>
        <w:tc>
          <w:tcPr>
            <w:tcW w:w="6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Maintenance deposit payments and other liabilities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(956,562)</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686,957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850,898</w:t>
            </w:r>
          </w:p>
        </w:tc>
      </w:tr>
      <w:tr>
        <w:trPr>
          <w:trHeight w:val="210"/>
        </w:trPr>
        <w:tc>
          <w:tcPr>
            <w:tcW w:w="692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Net cash (used in) provided by operating activities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(12,230,900)</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45,455,834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59,246,487</w:t>
            </w:r>
          </w:p>
        </w:tc>
        <w:tc>
          <w:tcPr>
            <w:tcW w:w="100" w:type="dxa"/>
            <w:vAlign w:val="bottom"/>
            <w:tcBorders>
              <w:bottom w:val="single" w:sz="8" w:color="CCEEFF"/>
            </w:tcBorders>
          </w:tcPr>
          <w:p>
            <w:pPr>
              <w:spacing w:after="0"/>
              <w:rPr>
                <w:sz w:val="18"/>
                <w:szCs w:val="18"/>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Business acquisitions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(16,975,595)</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(26,081,080)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(22,283,660)</w:t>
            </w: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2,115,441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75,297,892</w:t>
            </w: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Acquisition of aircraft and engines held for lease, including capitalized cost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(5,127,892)</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(36,478,888)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(7,589,143)</w:t>
            </w: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(2,137,219)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(1,648,618)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(1,235,182)</w:t>
            </w:r>
          </w:p>
        </w:tc>
      </w:tr>
      <w:tr>
        <w:trPr>
          <w:trHeight w:val="210"/>
        </w:trPr>
        <w:tc>
          <w:tcPr>
            <w:tcW w:w="692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Net cash (used in) provided by investing activities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(21,140,706)</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(62,093,145)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44,189,907</w:t>
            </w:r>
          </w:p>
        </w:tc>
        <w:tc>
          <w:tcPr>
            <w:tcW w:w="100" w:type="dxa"/>
            <w:vAlign w:val="bottom"/>
            <w:tcBorders>
              <w:bottom w:val="single" w:sz="8" w:color="CCEEFF"/>
            </w:tcBorders>
          </w:tcPr>
          <w:p>
            <w:pPr>
              <w:spacing w:after="0"/>
              <w:rPr>
                <w:sz w:val="18"/>
                <w:szCs w:val="18"/>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Repayments of Long Term Secure Debt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(3,432,837)</w:t>
            </w: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8% Senior Secured Notes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(3,424,273)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(5,512,054)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(5,069,941)</w:t>
            </w: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96,725,970</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77,703,575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23,900,000</w:t>
            </w: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Facility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(96,725,970)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(77,703,575)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(97,500,000)</w:t>
            </w: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Payments of debt issuance costs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(1,680,447)</w:t>
            </w: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Merger</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48,607,823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692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Net cash provided by (used in) financing activities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45,183,550</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(5,512,054)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(83,783,225)</w:t>
            </w:r>
          </w:p>
        </w:tc>
        <w:tc>
          <w:tcPr>
            <w:tcW w:w="100" w:type="dxa"/>
            <w:vAlign w:val="bottom"/>
            <w:tcBorders>
              <w:bottom w:val="single" w:sz="8" w:color="CCEEFF"/>
            </w:tcBorders>
          </w:tcPr>
          <w:p>
            <w:pPr>
              <w:spacing w:after="0"/>
              <w:rPr>
                <w:sz w:val="18"/>
                <w:szCs w:val="18"/>
                <w:color w:val="auto"/>
              </w:rPr>
            </w:pPr>
          </w:p>
        </w:tc>
      </w:tr>
      <w:tr>
        <w:trPr>
          <w:trHeight w:val="210"/>
        </w:trPr>
        <w:tc>
          <w:tcPr>
            <w:tcW w:w="6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Cash flows from discontinued operations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18,050,201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(4,594,395)</w:t>
            </w: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Net cash used in financing activities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(1,225,937)</w:t>
            </w:r>
          </w:p>
        </w:tc>
      </w:tr>
      <w:tr>
        <w:trPr>
          <w:trHeight w:val="210"/>
        </w:trPr>
        <w:tc>
          <w:tcPr>
            <w:tcW w:w="692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flows provided by (used in) discontinued operations</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18,050,201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(5,820,332)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20" w:type="dxa"/>
            <w:vAlign w:val="bottom"/>
          </w:tcPr>
          <w:p>
            <w:pPr>
              <w:ind w:left="820"/>
              <w:spacing w:after="0"/>
              <w:rPr>
                <w:sz w:val="20"/>
                <w:szCs w:val="20"/>
                <w:color w:val="auto"/>
              </w:rPr>
            </w:pPr>
            <w:r>
              <w:rPr>
                <w:rFonts w:ascii="Arial" w:cs="Arial" w:eastAsia="Arial" w:hAnsi="Arial"/>
                <w:sz w:val="18"/>
                <w:szCs w:val="18"/>
                <w:color w:val="auto"/>
              </w:rPr>
              <w:t>Increase (decrease) in cash and cash equivalents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11,811,944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(4,099,164)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13,832,837</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17,505,002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21,604,166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7,771,329</w:t>
            </w:r>
          </w:p>
        </w:tc>
      </w:tr>
      <w:tr>
        <w:trPr>
          <w:trHeight w:val="210"/>
        </w:trPr>
        <w:tc>
          <w:tcPr>
            <w:tcW w:w="69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29,316,946</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17,505,002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21,604,166</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Supplemental disclosure of cash activities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net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2,650,000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8,529,000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4,656,000</w:t>
            </w: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855,000</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2,296,000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2,310,000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20" w:type="dxa"/>
            <w:vAlign w:val="bottom"/>
          </w:tcPr>
          <w:p>
            <w:pPr>
              <w:ind w:left="180"/>
              <w:spacing w:after="0" w:line="201" w:lineRule="exact"/>
              <w:rPr>
                <w:sz w:val="20"/>
                <w:szCs w:val="20"/>
                <w:color w:val="auto"/>
              </w:rPr>
            </w:pPr>
            <w:r>
              <w:rPr>
                <w:rFonts w:ascii="Arial" w:cs="Arial" w:eastAsia="Arial" w:hAnsi="Arial"/>
                <w:sz w:val="18"/>
                <w:szCs w:val="18"/>
                <w:color w:val="auto"/>
                <w:w w:val="92"/>
              </w:rPr>
              <w:t>Reclassification of aircraft and aircraft engines inventory to (from) equipment held for lease,</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20" w:type="dxa"/>
            <w:vAlign w:val="bottom"/>
          </w:tcPr>
          <w:p>
            <w:pPr>
              <w:ind w:left="180"/>
              <w:spacing w:after="0"/>
              <w:rPr>
                <w:sz w:val="20"/>
                <w:szCs w:val="20"/>
                <w:color w:val="auto"/>
              </w:rPr>
            </w:pPr>
            <w:r>
              <w:rPr>
                <w:rFonts w:ascii="Arial" w:cs="Arial" w:eastAsia="Arial" w:hAnsi="Arial"/>
                <w:sz w:val="18"/>
                <w:szCs w:val="18"/>
                <w:color w:val="auto"/>
              </w:rPr>
              <w:t>net.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6,228,000</w:t>
            </w:r>
          </w:p>
        </w:tc>
        <w:tc>
          <w:tcPr>
            <w:tcW w:w="2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(22,468,000)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182,000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THE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Organization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Exchange Act.</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will continue as a wholly owned subsidiary of the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corporate headquarters are based in Miami, Florida, with additional offices, hangars, and warehouses globally.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auto"/>
        </w:rPr>
        <w:t>Description of the Business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is a worldwide provider of aftermarket commercial aircraft, engines, and their parts to airlines, leasing companies, manufacturers of original equipment, government and defense contractors, and repair and overhaul service providers. We focus on mid-life assets and monetize them through our Asset Management Solutions segment. Asset Management Solutions activities include monetization of the assets through leasing or sale of whole asset components, or through teardown activities in support of our Used Serviceable Material (“USM”) activities. Our monetizing services have been developed to maximize returns on mid-life Flight Equipment throughout their operating life, in conjunction with realizing the highest residual value of Flight Equipment at their retirement. We do this by utilizing our deep market and technical knowledge in management of Flight Equipment sales, leasing and Maintenance, Repair, and Overhaul (“MRO”) activities. Beyond providing asset management services on our own flight equipment, we additionally provide asset management services to third-party clients complementing their infrastructure to optimize their Flight Equipment investments. While our offering to customers includes leasing of mid-life aircraft and engines, this service is offered in the context of a broader strategy to extract the maximum value from those assets. Frequently, we will offer a lease of an asset for the time period before its next scheduled overhaul (“green time”) on a short term or “spot” lease, with the intent of disassembling the asset at the conclusion of the lease. In turn, the vast majority of assets that we acquire are ultimately disassembled into parts once the remaining green time has been utilized.</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also operates six Federal Aviation Administration (“FAA”) Title 14 Code of Federal Regulations Part 145 Certified Repair Facilities (the MROs) located in Miami, Florida, Goodyear, Arizona, Memphis, Tennessee, as well as in Roswell and Albuquerque, New Mexico. These facilities provide the Company flexibility and control to quickly prepare Company aircraft, engines, and inventory for market, as their selective refurbishment is frequently required to meet customers’ unique demand. In addition to maintaining the Company’s fleet of aircraft, the MROs provide external customer support for maintaining their aircraft with general maintenance, preservation, lease return work, repair services, and long-term storage programs.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7, 2020 the Company acquired all of the outstanding shares of Aircraft Component Technologies, Inc. (“ACT”), a Florida corporation located in Miami, Florida, for $16,976,000 in cash. The results of ACT operations have been included in the consolidated financial statements since the acquisition date. See Note T for further details.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10, 2019, the Company acquired a USM distributor and certified repair facility, Qwest Air Parts, LLC (“Qwest”), a Florida limited liability company located in Memphis, Tennessee, for $26,081,000 in cash. The results of Qwest operations have been included in the consolidated financial statements since the acquisition date. See Note T for further details.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November 28, 2018, the Company acquired a certified repair facility, Avborne Accessory Group, Inc., d/b/a Avborne Component Solutions (“Avborne”), a Delaware corporation located in Miami, Florida for $22,284,000 in cash. The results of Avborne’s operations have been included in the consolidated financial statements since the acquisition date. Avborne is a certified FAA Part 145 Repair Station that provides aviation maintenance, repair and overhaul services to the Company, affiliates, and external customers. See Note T for further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 and Basis of Presentation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accompanying consolidated financial statements include the accounts of the Company and all of its wholly owned subsidiaries. As discussed in more detail in Note R, the Company also consolidates variable interest entities when required under accounting principles generally accepted in the United States (“U.S. GAAP”). All significant intercompany balances and transactions are eliminated upon consolidation.</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70" w:lineRule="auto"/>
        <w:rPr>
          <w:sz w:val="20"/>
          <w:szCs w:val="20"/>
          <w:color w:val="auto"/>
        </w:rPr>
      </w:pPr>
      <w:r>
        <w:rPr>
          <w:rFonts w:ascii="Arial" w:cs="Arial" w:eastAsia="Arial" w:hAnsi="Arial"/>
          <w:sz w:val="17"/>
          <w:szCs w:val="17"/>
          <w:color w:val="auto"/>
        </w:rPr>
        <w:t>The Merger has been accounted for as a reverse recapitalization (“Reverse Recapitalization”) in accordance with U.S. GAAP. This determination was principally based on AerSale Aviation’s business comprising the ongoing operations of the Company following the Merger, with its senior management continuing to comprise the management of the Company and its stockholders having majority of the voting power of the Company. For accounting purposes, Monocle is considered the “acquired” company and AerSale Aviation is considered the “acquirer.” Accordingly, for accounting purposes, the Reverse Recapitalization was treated as the equivalent of AerSale Aviation issuing stock for the net assets of Monocle, accompanied by a recapitalization. The consolidated assets, liabilities, and results of operations for all periods prior to the Reverse Recapitalization only reflect the historical consolidated financial statements of AerSale Aviation. Subsequent to the Reverse Recapitalization, the consolidated financial statements reflect the results of the combined entity. The shares and corresponding capital amounts and earnings per share available to common stockholders, prior to the Merger, have been retroactively restated as shares reflecting the exchange ratio in the Merger.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Emerging Growth Company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 (“VIE”)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 entity is referred to as a VIE if it meets the criteria outlined in Accounting Standards Codification (“ASC”) Topic 810, Consolidation.</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explained in Note R, the Company determined that AerLine Holdings, Inc. (“AerLine”) was a VIE that the Company was required to consolidate. Effective August 31, 2018, the Company determined that AerLine ceased to meet the criteria for VIE consolidation under U.S. GAAP and therefore has deconsolidated the VIE. Prior to August 31, 2018, transactions between the Company and AerLine and its subsidiaries were eliminated upon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The Company’s cash equivalents are held primarily in interest-bearing accounts.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auto"/>
        </w:rPr>
        <w:t>Foreign Currency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determined that the functional currency for its foreign subsidiaries is the U.S. dollar. The primary economic environment in which the entities generate or expend cash is in U.S. dollars as evidenced by the cash flows in or out from revenues, operating expenses, investing, and financings. Only general office expenses and payroll transactions are denominated in local currency.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Accounts receivable include amounts receivable from customers for aircraft and engine parts sales, aircraft and engine basic and supplemental rents, and aircraft services. Contingent rents, also referred to as supplemental rent, and consumption of consignment inventory related to aircraft and engine parts that were earned or consumed, but unbilled, are also included in accounts receivable and totaled $615,000 and $1,860,000 at December 31, 2020 and 2019, respectively.</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sells to a variety of customers worldwide. For certain transactions and customers not requiring payment in full prior to shipment of goods, the Company extends credit based on an evaluation of the customers’ financial condition. The Company monitors exposure to credit losses and maintains an allowance for doubtful accounts for estimated losses in its accounts receivable portfolio. In establishing the required allowance, management considers historical losses, current market conditions, customers’ financial condition, amount of receivables in dispute, current receivables aging, and current payment patterns. Account balances are written off against the allowance after all means of collection have been exhausted and the potential for recovery is considered remote. A rollforward of the allowance for doubtful accounts is as follows: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7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beginning of year</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1,545,000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1,528,000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Provision</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212,000</w:t>
            </w: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55,000</w:t>
            </w:r>
          </w:p>
        </w:tc>
        <w:tc>
          <w:tcPr>
            <w:tcW w:w="80" w:type="dxa"/>
            <w:vAlign w:val="bottom"/>
          </w:tcPr>
          <w:p>
            <w:pPr>
              <w:spacing w:after="0"/>
              <w:rPr>
                <w:sz w:val="18"/>
                <w:szCs w:val="18"/>
                <w:color w:val="auto"/>
              </w:rPr>
            </w:pPr>
          </w:p>
        </w:tc>
      </w:tr>
      <w:tr>
        <w:trPr>
          <w:trHeight w:val="229"/>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Write-offs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(105,000)</w:t>
            </w: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(38,000)</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Balance at end of year</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1,652,000</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June 9, 2014, an aircraft leased to Air Indus suffered significant damage as the result of a terrorist attack. At that time, the Company recorded an impairment to the asset of $2,500,000 to adjust the carrying amount to the estimated residual value of $1,085,000. An insurance claim was filed and the insurance company is negotiating the final settlement owed to the Company. The Company has recorded an insurance receivable of $2,500,000, offsetting the impairment loss, which has been recorded in accounts receivable. In accordance with U.S. GAAP, the probable amount of the insurance recovery, limited to the amount of the loss recognized, was recorded as the insurance receivable. The Company believes that recovery of this insurance receivable is probable and is working with the insurer on settling the claim by negotiating the final settlement to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Inventory, which consists of complete aircraft and engines held for sale, as well as related parts, is valued at the lower of cost or market (“LCM”) value. For purchases of whole aircraft and engines for sale or lease, cost is determined using the specific identification method whereby total cost is the cost paid, including certain capitalizable asset acquisition costs, to acquire such assets as a whole.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the Company purchases certain whole aircraft and engines to disassemble and supply its engine and airframe parts inventory. For aircraft and engine parts that originate from such dismantled aircraft and engines, cost is determined using a ratio calculated based on the relationship of the cost of the dismantled aircraft or engine at the time of purchase to the total estimated sales value of the dismantled aircraft or engine at the time of purchase. At the time of sale, this ratio is applied to the sale price of each individual airframe and/or engine part to determine its allocated cost. At the time of sale, the sum of an individual part’s allocated cost and actual repair or overhaul costs incurred represent the total cost for such part. Inventory not expected to be sold within the operating cycle is classified as noncurrent inventory on the consolidated balance sheets.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648"/>
        <w:spacing w:after="0" w:line="259" w:lineRule="auto"/>
        <w:rPr>
          <w:sz w:val="20"/>
          <w:szCs w:val="20"/>
          <w:color w:val="auto"/>
        </w:rPr>
      </w:pPr>
      <w:r>
        <w:rPr>
          <w:rFonts w:ascii="Arial" w:cs="Arial" w:eastAsia="Arial" w:hAnsi="Arial"/>
          <w:sz w:val="18"/>
          <w:szCs w:val="18"/>
          <w:color w:val="auto"/>
        </w:rPr>
        <w:t>The Company evaluates this ratio periodically, and if necessary, updates sales estimates and makes prospective adjustments to this ratio on a product line basis. Any amounts identified with an estimated sales value lower than the carrying value is reduced to the estimated sales value at the time of the review. The Company recorded additional inventory reserves due to this LCM valuation, which is reflected as a component of cost of products in the consolidated statements of operations. These additional inventory reserves were as follows:</w:t>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7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Inventory reserves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w w:val="86"/>
              </w:rPr>
              <w:t>13,064,000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4,619,000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Expenditures required for the repair of engine and airframe parts are capitalized as inventory and are expensed as cost of sales when associated parts are sold.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periodically evaluates its complete aircraft and engines in inventory and flight equipment held for lease to determine if events or market circumstances indicate that the assets’ most likely disposition has changed. Should conditions prevail at the time of the Company’s consolidated balance sheets that would suggest a more likely use as an asset held for lease rather than sale or disassembly for parts inventory or vice versa, it will be reclassified at its then-current book value between inventory and flight equipment held for lease. This transaction is a noncash item and if it occurs, is reflected in the schedule of supplemental cash flows.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inventory is reviewed regularly, giving consideration to factors such as its physical condition, sales patterns, and expected future demand to estimate the amount necessary to write down our slow-moving, obsolete, or damaged inventory. Such inventory may be held for periods beyond one year. The Company recorded inventory scrap losses which are reflected as a component of cost of products in the accompanying consolidated statements of operations. These scrap losses are as follows:</w:t>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7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Scrap loss reserves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699,000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Flight Equipment Held for Lease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Flight equipment held for lease is stated at cost, less accumulated depreciation. Certain internal and external professional fees, major improvements, modifications, and maintenance incurred in connection with the acquisition of flight equipment that are required to get the flight equipment ready for initial service are capitalized and depreciated over the remaining life of the flight equipment, and are reported in the investing section of the consolidated statements of cash flows. Subsequent to placing flight equipment into service, the cost of maintenance and improvements to flight equipment is normally expensed unless the improvements materially increase the long-term value of the flight equipment or extend the useful life of the flight equipment. The capitalized cost is depreciated over the lesser of the remaining useful life of the flight equipment or the estimated useful life of the capitalized improvements. Aircraft airframe components are depreciated over the assets’ useful life using the straight-line method to the estimated residual value based on the total remaining life before disassembly or outright scrap metal value. Aircraft airframe useful lives range from 2 to 10 years. Engines are depreciated using the straight-line method to the estimated residual value based on the total life remaining before disassembly. To arrive at the total engine life remaining before disassembly, the remaining life of the engine’s life-limited parts, the estimated utilization, and condition, as well as the aircraft fleet supported by the engine model are considered. Upon completion of its estimated service life as a leased asset, flight equipment is reclassified to inventory at its carrying value. The Company discontinues the depreciation of flight equipment when it is held as inventory for ultimate parts sales. Differences between estimates of useful lives and residual values and actual experience may result in future impairments of aircraft or engines and/or additional gains or losses upon disposal. The Company reviews residual values of aircraft and engines periodically based on knowledge of current residual values and residual value trends to determine if they are appropriate and records adjustments as necessary. Cash flows related to the purchase and sale of flight equipment are presented as operating activities when the predominant source of cash flows related to the asset is from the ultimate parts sales of the assets. If the predominant source of cash flows related to the asset is expected to be from leasing of the asset, the cash flows are presented as investing activities.</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Property and equipment are recorded at cost. Depreciation is recognized over the estimated useful lives of the respective assets on a straight-line basis, ranging from 3 to 15 years. Leasehold improvements are amortized on a straight-line basis over the shorter of the terms of the respective leases and the estimated useful lives of the respective assets. Property and equipment held under capital leases are amortized on a straight-line basis over the shorter of the lease term or estimated useful life of the asset. Repairs and maintenance expenditures are expensed as incurred, unless such expenses extend the useful life of the asset, in which case they are capitalized.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ASC 350, “Intangibles - Goodwill and Other,”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assessment involves determining the fair value of each reporting unit using market participant assumptions. An entity should recognize an impairment charge for the amount by which the carrying amount of a reporting unit exceeds its fair value up to the amount of goodwill allocated to that reporting unit. Our annual assessment date for goodwill is October 1, 2020.</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purposes of reviewing impairment and the recoverability of goodwill, we must make various assumptions regarding estimated future cash flows and other factors in determining the fair values of the reporting unit, including market multiples, discount rates, etc.</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a result of the COVID-19 pandemic and its impact on the aviation industry, AerSale performed a qualitative impairment analysis as of June 30, 2020. The Company also performed its annual quantitative impairment analysis as of October 1, 2020 on the goodwill for the Asset Management Solutions and TechOps segments, and concluded the fair value of each reporting unit exceeded their carrying values, and thus no impairment charges were recorded.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Relationships and Other Intangible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Intangibles arising from business combinations, including customer relationships and FAA certificates are initially recorded at fair market value. Customer relationships are amortized over ten years and favorable leases are amortized over the remaining term of the lease. Straight-line amortization is utilized. Where there are no legal, regulatory, contractual, or other factors that would reasonably limit the useful life of an intangible assets, that asset is classified as indefinite lived and such intangible assets are not amortized.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intangible assets with indefinite lives are assessed for impairment annually, or more frequently when events or circumstances indicate there may be an impairment. These assets are carried at the estimated fair value at the time of acquisition. Our annual assessment date for indefinite lived intangible assets is July 1, 2020. The Company performed a quantitative impairment analysis as of July 1, 2020 on the indefinite lived intangible assets and concluded there was no impairments.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intangible assets are reviewed for impairment if any event or change in circumstance indicates that an impairment may have occurred. As a result of Covid-19 pandemic, the Company performed a quantitative impairment analysis on the definite-lived intangible assets as of June 30, 2020 and concluded there was no impairment.</w:t>
      </w:r>
    </w:p>
    <w:p>
      <w:pPr>
        <w:spacing w:after="0" w:line="18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annually reviews the estimated lives and methods used to amortize other intangible assets. The actual amounts of amortization expense may differ materially from our estimates, depending on the results of our annual review.</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Such events and circumstances include, but are not limited to, prolonged industry downturns, a significant decline in the Company’s market value, and significant reductions in the Company’s projected cash flows.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As a result of Covid-19 pandemic, the Company performed an impairment analysis on the property, plant and equipment and concluded there was no impairment as of June 30,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Obligations and Instruments Potentially Settled in the Company’s Common Stock</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connection with any obligations and instruments potentially to be settled in the Company’s stock, including the Company's earn-out shares, the Company accounts for the instruments in accordance with ASC Topic 815, “Accounting for Derivative Financial Instruments Indexed to, and Potentially Settled in a Company’s Own Stock.” This issue addresses the initial balance sheet classification and measurement of contracts that are indexed to, and potentially settled in, the Company’s stock. Under this pronouncement, contracts are initially classified as equity or as either assets or liabilities, depending on the situation. All contracts are initially measured at fair value and subsequently accounted for based on the then current classification. Contracts initially classified as equity do not recognize subsequent changes in fair value as long as the contracts continue to be classified as equity. For contracts classified as assets or liabilities, the Company reports changes in fair value in earnings and records these changes in the financial statements as long as the contracts remain classified as assets or liabilities. If contracts classified as assets or liabilities are ultimately settled in shares, any previously reported gains or losses on those contracts continue to be included in earnings. The classification of a contract is reassessed at each balance sheet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Products - Used Serviceable Material Sales (“USM”)</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Revenues from sales of USM are measured based on consideration specified in a contract with a customer, and excludes any sales commissions and taxes collected and remitted to government agencies. We recognize revenue when we satisfy a performance obligation by transferring control over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ASC 606 - Revenue from Contracts with Customers (“ASC 606”).</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 Additionally, there is no impact to the timing and amounts of revenue recognized for spare parts sales related to the implementation of ASC 606.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Products - Whole Asset Sales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Revenues from whole asset sales are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believes the whole asset holds standalone value to the customer as it is not dependent on any other services for functionality purposes and therefore is distinct within the context of the contract and as described in ASC 606-10. Accordingly,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customers’ acceptance of the whole asset on the date of the transfer. As such, there is no impact to the timing and amounts of revenue recognized for whole asset sales related to the implementation of ASC 606.</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u w:val="single" w:color="auto"/>
          <w:color w:val="auto"/>
        </w:rPr>
        <w:t>Leasing Revenues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leases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 liabilities in recognition of the Company’s contractual commitment to reimburse qualifying maintenance. Reimbursements to the lessees upon receipt of evidence of qualifying maintenance work are charged against the existing maintenance deposit payments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Service Revenues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Service revenues are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 Variable consideration that cannot be reasonably estimated is recorded when known.</w:t>
      </w:r>
    </w:p>
    <w:p>
      <w:pPr>
        <w:spacing w:after="0" w:line="18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spacing w:after="0" w:line="1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revenues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MRO contracts, if the contract is terminated for convenience, we are entitled to payment for items delivered and fair compensation for work performed, the costs of settling and paying other claims, and a reasonable profit on the costs incurred or committed.</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648"/>
        <w:spacing w:after="0" w:line="263" w:lineRule="auto"/>
        <w:rPr>
          <w:sz w:val="20"/>
          <w:szCs w:val="20"/>
          <w:color w:val="auto"/>
        </w:rPr>
      </w:pPr>
      <w:r>
        <w:rPr>
          <w:rFonts w:ascii="Arial" w:cs="Arial" w:eastAsia="Arial" w:hAnsi="Arial"/>
          <w:sz w:val="18"/>
          <w:szCs w:val="18"/>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elected to use certain practical expedients permitted under ASC 606. Shipping and handling fees and costs incurred associated with outbound freight after control over a product has transferred to a customer are accounted for as a fulfillment cost and are included in cost of sales in our consolidated statements of operations, and are not considered a performance obligation to our customers. Our reported sales on our consolidated statements of operations are net of any sales or related non income taxes. We also utilize the “as invoiced” practical expedient in certain cases where performance obligations are satisfied over time and the invoiced amount corresponds directly with the value we are providing to the customer.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Maintenance and Repair Costs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cost of maintenance, repairs, and re-leasing of flight equipment that does not extend the useful life of flight equipment is expensed as incurred. Costs incurred for planned major maintenance activities that materially increase the long-term value of the flight equipment or extend the useful life of the flight equipment are capitalized and depreciated over the lesser of the remaining useful life of the flight equipment or the estimated useful life of the capitalized improvements.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certain of the Company’s aircraft leases, the lessee is responsible for performing required maintenance and repairs on the leased asset, and is required to make monthly maintenance reserve payments to the Company, in arrears following the usage month. Upon the lessee’s presentation of invoices evidencing the completion of qualifying maintenance, the Company will reimburse the lessee for the cost of the maintenance, up to the amount of the maintenance reserve payments that have been received by the Company. Unless otherwise provided in the contract, the Company records such maintenance reserve payments paid by the lessees as maintenance deposit payment liabilities in the accompanying consolidated balance sheets to record the Company’s contractual commitment to reimburse such qualifying maintenance. Reimbursements to the lessees upon receipt of evidence for qualifying maintenance work are charged against the existing maintenance deposit payment liabilities.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other lease contracts (primarily engine lease contracts) where the terms of the lease are designed specifically to allow the Company to directly manage the occurrence, timing, and associated cost of qualifying maintenance work on the flight equipment, maintenance reserve payments collected during the lease are recognized as lease revenue in the period earned.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amounts of maintenance reserve payments remaining at the end of a lease contract are recognized as lease revenue or applied against outstanding accounts receivable at lease termination.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AerLine recognized expense for maintenance and repairs as incurred. AerLine recognized $4,276,000 for the year ended December 31, 2018, in maintenance and repair cost, which is included in discontinued operations in the consolidated statements of operations.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AerLine deferred maintenance costs that materially increased the long-term value of the flight equipment or extended the useful life. Deferred maintenance costs are amortized over the lower of 18 months or the remaining life of the lease. Amortization expense of deferred maintenance costs for the year ended December 31, 2018 amounted to $3,753,000. The amortization expense is included in discontinued operations in the consolidated statements of operations for the year ended December 31, 2018.</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auto"/>
        </w:rPr>
        <w:t>Sales Taxes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Company’s policy is to present taxes collected from customers and remitted to governmental authorities on a net basis. The Company records the amounts collected as a current liability and relieves such liability upon remittance to the taxing authority without impacting revenue or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earnings (loss) per share is computed by dividing net earnings (loss) attributable to the Company’s common shareholders by the weighted average number of common shares outstanding during the periods. Diluted earnings (loss) per share reflects the potential dilution that could occur if securities or other contracts to issue common stock were exercised or converted into common stock and is calculated using the treasury stock method for stock options and unvested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on examination by the taxing authorities. Recognized income tax positions are measured at the largest amount that is greater than 50% likely of being realized. Changes in recognition or measurement are reflected in the period in which the change in judgment occurs.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records interest and penalties related to unrecognized tax benefits in the income tax provision. The VIE was not included in the consolidated tax return of the Company. See Note L for more information about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 Adopted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which provides guidance for revenue recognition. This ASU affects any entity that either enters into contracts with customers to transfer goods or services or enters into contracts for the transfer of non-financial assets. This ASU supersedes the revenue recognition requirements in Accounting Standards Codification (“ASC”) 605, “Revenue Recognition”, and most industry specific guidance. We adopted this ASU on January 1, 2019 using the modified retrospective method. Refer to Note D for the impact of this change. This ASU does not apply to revenues from leasing activity, which will fall under “Leases (Topic 842)”, noted below.</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(“ASU 2019-12”) as part of its overall simplification initiative to reduce costs and complexity of applying accounting standards. ASU 2019-12 removes certain exceptions from Topic 740, Income Taxes, including (i) the exception to the incremental approach for intra period tax allocation; (ii) the exception to accounting for basis differences when there are ownership changes in foreign investments; and (iii) the exception in interim period income tax accounting for year-to-date losses that exceed anticipated losses. ASU 2019-12 also simplifies U.S. GAAP in several other areas of Topic 740 such as (i) franchise taxes and other taxes partially based on income; (ii) transactions with a government that result in a step up in the tax basis of goodwill; (iii) separate financial statements of entities not subject to tax; and (iv) enacted changes in tax laws in interim periods. ASU 2019-12 is effective for public entities for annual reporting periods and interim periods within those years beginning after December 15, 2020, and early adoption is permitted. The Company adopted ASU 2019-12 on its consolidated financial statements in 2020.</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auto"/>
        </w:rPr>
        <w:t>New Accounting Pronouncements Not Yet Adopted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February 2016, FASB issued “Leases (Topic 842)”, which generally requires companies to recognize operating and financing lease liabilities and corresponding right-of-use assets on the balance sheet. In July 2018, FASB issued ASU No. 2018-10, “Codification Improvements to Topic 842, Leases,” and ASU No. 2018-11, “Leases (Topic 842): Targeted Improvements.” Topic 842 will be effective for the Company in the fourth quarter of 2022 on a modified retrospective basis and early adoption is permitted. We plan to adopt Topic 842 in the fourth quarter of 2022. We are currently evaluating the impact this guidance will have on our consolidated financial statements and related disclosures.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June 2016, the FASB issued ASU No. 2016-13 (“ASU 2016-13”), “Financial Instruments — Credit Losses (Topic 326): Measurement of Credit Losses on Financial Instruments.” In November 2018, FASB issued ASU No. 2018-19, “Codification Improvements to Topic 326, Financial Instruments — Credit Losses,” which amends the scope and transition requirements of ASU 2016-13. ASU 2016-13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ASU 2016-13 will become effective for the Company beginning January 1, 2023, with early adoption permitted, on a modified retrospective approach. We are currently evaluating the impact this guidance will have on our consolidated financial statements and related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CARES Act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231F20"/>
        </w:rPr>
        <w:t>The Company has also taken steps to improve our liquidity, including seeking financial assistance under the Coronavirus Aid, Relief, and Economic Security Act (“CARES Act”). Certain of the Company’s subsidiaries have received $16.4 million from the U.S. Treasury Department (“Treasury”) through the Payroll Support Program (“PSP1”) under the CARES Act, of which $12.7 million was received prior to December 31, 2020 and the remaining amount was received during the first quarter of 2021. As part of the Payroll Support Extension Law (“PSP Extension Law”), the Company entered into a new agreement with the U.S. Department of the Treasury (“PSP2”) on March 4, 2021 for the receipt of relief funds of $5.5 million. In connection with the financial assistance the Company has received under the Payroll Support Program, it is required to comply with certain provisions of the CARES Act, including the requirement that funds provided pursuant to the Payroll Support Program be used exclusively for the continuation of payment of employee wages, salaries and benefits; the requirement against involuntary terminations and furloughs and reductions in employee pay rates and benefits from the signing date of the Payroll Support Program agreement through March 31, 2021. The agreement requires the Company to issue a recall to any employee who was terminated or furloughed between October 1, 2020 and March 4, 2021 and enable such employee to return to employment. In addition, the Company is subject to provisions prohibiting the repurchase of common stock and the payment of common stock dividends through March 31, 2022, as well as limitations on the payment of certain employee compensation through October 1, 2022. These restrictions may affect the Company’s operations and if the Company does not comply with these provisions, it may be required to reimburse up to 100% of any previously received relief funds.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SIGNIFICANT RISKS AND UNCERTAINTIES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Coronavirus (COVID-19)</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COVID-19 has been declared a global health pandemic by the World Health Organization. COVID-19 has impacted nearly all regions of the world, which has driven the implementation of significant, government-imposed measures to prevent or reduce its spread, including travel restrictions, the closing of borders, “shelter in place” orders and business closure. As a result, commercial airlines have experienced a decline in demand for air travel. The reduced number of aircraft in service and corresponding flying hours negatively impacts the demand for certain of AerSale’s services, and prolonged reduction could materially and adversely affect AerSale’s business, operating results, financial condition, and liquidity.</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648"/>
        <w:spacing w:after="0" w:line="263" w:lineRule="auto"/>
        <w:rPr>
          <w:sz w:val="20"/>
          <w:szCs w:val="20"/>
          <w:color w:val="auto"/>
        </w:rPr>
      </w:pPr>
      <w:r>
        <w:rPr>
          <w:rFonts w:ascii="Arial" w:cs="Arial" w:eastAsia="Arial" w:hAnsi="Arial"/>
          <w:sz w:val="18"/>
          <w:szCs w:val="18"/>
          <w:color w:val="auto"/>
        </w:rPr>
        <w:t>An extended pandemic, or the threat thereof, could result in employee absenteeism leading to lower productivity in AerSale’s service locations, temporary closure of AerSale’s offices and facilities, travel restrictions for AerSale’s workforce and other voluntary actions that may result in business disruptions.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Actual results could differ from those estimates.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Significant items subject to such estimates and assumptions include the useful lives of property and equipment, useful lives and residual values of flight equipment held for lease, allowances for doubtful accounts and sales returns, the income tax provision, impairment of long-lived assets, valuation of inventory, valuation and useful lives of intangibles, goodwill and contingencies.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and Uncertainties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is impacted by the general economic conditions of the commercial aviation industry. A decrease in passenger and/or air cargo traffic worldwide could result in strains on the Company’s lessees and cause them to default under their leases with the Company, which could negatively impact cash flows and results of operations. The value of flight equipment held for operating leases is subject to fluctuations in the values of commercial aircraft and engines worldwide. A material decrease in aircraft or engine values could have a downward impact on lease rentals and residual values and may require impairments to be taken on such assets. Additionally, impairment charges may be required to reduce the carrying value of inventory.</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nature of the Company’s business is capital intensive and demands significant capital requirements. To meet the Company’s current purchase commitments and future aircraft and engine acquisitions, the Company may need to (i) access committed debt facilities, and/or (ii) secure additional financing, and/or (iii) use existing available cash balances.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regulation by various governmental agencies with responsibilities over civil aviation. Increased regulations imposed by organizations such as the FAA may significantly affect industry operations.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conducts business in certain foreign countries, some of which are politically unstable or subject to military or civil conflicts. Consequently, the Company is subject to a variety of risks such as civil strife, political risk, import and export regulations, compliance with foreign laws, treaties, regulations, uncertainties arising from foreign local business practices, cultural considerations, restriction on fund transfers, and exposure to U.S. Foreign Corrupt Practices Act and other anti-bribery laws.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periodically reviews the carrying values of trade receivables, inventory, goodwill, intangible assets, long-lived assets, the recoverable value of deferred tax assets, and the sufficiency of accruals and provisions, substantially all of which are sensitive to the above risks and uncertainties.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Financial instruments that potentially subject the Company to credit risk principally consist of cash and cash equivalents and trade receivables.</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2019, one customer accounted for 17% of total revenue, which was collected during the year. At December 31, 2018, one customer accounted for 10% of trade receivables, which was collected. During the year ended December 31, 2018, one customer accounted for 18% of total revenue. This revenue related to a nonrecurring transaction. No such concentrations existed as of and for the year ended December 31, 2020.</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auto"/>
        </w:rPr>
        <w:t>Cash</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maintains cash and cash equivalents with high-quality financial institutions, which at times exceed the Federal Deposit Insurance Corporation insurance limits. While the Company monitors daily the cash balances in its operating accounts and adjusts the balances as appropriate, these balances could be impacted if one or more of the financial institutions with which the Company deposits fails or is subject to other adverse conditions in the financial or credit markets. To date, the Company has experienced no loss or lack of access to its invested cash or cash equivalents; however, no assurance can be provided that access to invested cash and cash equivalents will not be impacted by adverse conditions in the financial and credit markets.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Revenue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adopted ASC 606 on January 1, 2019 using the modified retrospective method. Under that approach, prior periods were not restated and continue to be reported under the accounting standards in effect during those periods. We elected to use the practical expedient allowing for the application of ASC 606 only to contracts that were not completed as of January 1, 2019 and the portfolio approach was used to assess the impact of ASC 606 on contracts with similar characteristics. We recognized the cumulative effect of initially applying ASC 606 as an increase of $716,433 to the opening balance of retained earnings as of January 1, 2019.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of the adoption of ASC 606 on our consolidated balance sheet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As of</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3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8"/>
                <w:szCs w:val="18"/>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ASC 606</w:t>
            </w:r>
          </w:p>
        </w:tc>
        <w:tc>
          <w:tcPr>
            <w:tcW w:w="24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January 1,</w:t>
            </w:r>
          </w:p>
        </w:tc>
      </w:tr>
      <w:tr>
        <w:trPr>
          <w:trHeight w:val="234"/>
        </w:trPr>
        <w:tc>
          <w:tcPr>
            <w:tcW w:w="36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Adjustment</w:t>
            </w:r>
          </w:p>
        </w:tc>
        <w:tc>
          <w:tcPr>
            <w:tcW w:w="24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Inventory</w:t>
            </w:r>
          </w:p>
        </w:tc>
        <w:tc>
          <w:tcPr>
            <w:tcW w:w="2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55,644,000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(10,535,000)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45,109,000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b w:val="1"/>
                <w:bCs w:val="1"/>
                <w:color w:val="auto"/>
              </w:rPr>
              <w:t>Contract assets</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11,482,000</w:t>
            </w:r>
          </w:p>
        </w:tc>
        <w:tc>
          <w:tcPr>
            <w:tcW w:w="2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11,482,000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liability</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(231,000)</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(231,000)</w:t>
            </w:r>
          </w:p>
        </w:tc>
      </w:t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222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34,549,000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716,000</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35,265,000</w:t>
            </w:r>
          </w:p>
        </w:tc>
      </w:tr>
    </w:tbl>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adoption of ASC 606 primarily impacted the Company in the recognition of revenue from aircraft MRO services whereby the Company has the right to consideration from a customer in an amount that corresponds directly with the value to the customer of the entity’s performance completed to date. These contracts transitioned to an over time revenue recognition model as of January 1, 2019 compared to our prior policy of recognizing revenue at the time completion task was completed. The impact of this change as of January 1, 2019 resulted in the elimination of certain inventory amounts and the establishment of a contract asset reflecting the over time revenue recognition treatment.</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Contract liabilities include advance payments and billings in excess of revenue recognized. Certain customers make advance payments prior to the satisfaction of our performance obligations on the contract. These amounts are recorded as contract liabilities until such performance obligations are satisfied. Contract assets and contract liabilities are determined on a contract by contract basis.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contract assets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 assets</w:t>
            </w:r>
          </w:p>
        </w:tc>
        <w:tc>
          <w:tcPr>
            <w:tcW w:w="2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22,457,000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7,925,000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14,532,000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648"/>
        </w:trPr>
        <w:tc>
          <w:tcPr>
            <w:tcW w:w="3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rPr>
              <w:t>57</w:t>
            </w: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8" w:name="page59"/>
    <w:bookmarkEnd w:id="58"/>
    <w:p>
      <w:pPr>
        <w:jc w:val="both"/>
        <w:ind w:firstLine="648"/>
        <w:spacing w:after="0" w:line="275" w:lineRule="auto"/>
        <w:rPr>
          <w:sz w:val="20"/>
          <w:szCs w:val="20"/>
          <w:color w:val="auto"/>
        </w:rPr>
      </w:pPr>
      <w:r>
        <w:rPr>
          <w:rFonts w:ascii="Arial" w:cs="Arial" w:eastAsia="Arial" w:hAnsi="Arial"/>
          <w:sz w:val="17"/>
          <w:szCs w:val="17"/>
          <w:color w:val="auto"/>
        </w:rPr>
        <w:t>Contract assets are reported within accounts receivable on our consolidated balance sheet. Changes in contract assets primarily results from the timing difference between our performance of services. Contract liabilities are reported as deferred revenue on our consolidated balance sheet and amounted to $7,709,000 as of December 31, 2019, of which $7,213,000 was related to contract liabilities for services to be performed. For the year ended December 31, 2020, we recognized as revenue the entire opening balance of our contract liabilities as the timing between customer payments and our performance of the services is a short period of time and generally no longer than six months.</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impact of the ASC 606 adoption on our consolidated statements of operations for the year ended December 31, 2019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Balances</w:t>
            </w:r>
          </w:p>
        </w:tc>
      </w:tr>
      <w:tr>
        <w:trPr>
          <w:trHeight w:val="216"/>
        </w:trPr>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Revenue under</w:t>
            </w:r>
          </w:p>
        </w:tc>
        <w:tc>
          <w:tcPr>
            <w:tcW w:w="22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ASC 606</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Excluding</w:t>
            </w:r>
          </w:p>
        </w:tc>
      </w:tr>
      <w:tr>
        <w:trPr>
          <w:trHeight w:val="234"/>
        </w:trPr>
        <w:tc>
          <w:tcPr>
            <w:tcW w:w="6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ASC 606</w:t>
            </w:r>
          </w:p>
        </w:tc>
        <w:tc>
          <w:tcPr>
            <w:tcW w:w="220" w:type="dxa"/>
            <w:vAlign w:val="bottom"/>
          </w:tcPr>
          <w:p>
            <w:pPr>
              <w:spacing w:after="0"/>
              <w:rPr>
                <w:sz w:val="20"/>
                <w:szCs w:val="20"/>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Adjustment</w:t>
            </w:r>
          </w:p>
        </w:tc>
        <w:tc>
          <w:tcPr>
            <w:tcW w:w="24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ASC 606</w:t>
            </w: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w w:val="87"/>
              </w:rPr>
              <w:t>304,201,000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w w:val="80"/>
              </w:rPr>
              <w:t>(3,557,000)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300,644,000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Cost of sales and operating expenses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gridSpan w:val="2"/>
          </w:tcPr>
          <w:p>
            <w:pPr>
              <w:ind w:left="520"/>
              <w:spacing w:after="0"/>
              <w:rPr>
                <w:sz w:val="20"/>
                <w:szCs w:val="20"/>
                <w:color w:val="auto"/>
              </w:rPr>
            </w:pPr>
            <w:r>
              <w:rPr>
                <w:rFonts w:ascii="Arial" w:cs="Arial" w:eastAsia="Arial" w:hAnsi="Arial"/>
                <w:sz w:val="18"/>
                <w:szCs w:val="18"/>
                <w:b w:val="1"/>
                <w:bCs w:val="1"/>
                <w:color w:val="auto"/>
              </w:rPr>
              <w:t>282,143,000</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60" w:type="dxa"/>
            <w:vAlign w:val="bottom"/>
            <w:gridSpan w:val="2"/>
          </w:tcPr>
          <w:p>
            <w:pPr>
              <w:ind w:left="580"/>
              <w:spacing w:after="0"/>
              <w:rPr>
                <w:sz w:val="20"/>
                <w:szCs w:val="20"/>
                <w:color w:val="auto"/>
              </w:rPr>
            </w:pPr>
            <w:r>
              <w:rPr>
                <w:rFonts w:ascii="Arial" w:cs="Arial" w:eastAsia="Arial" w:hAnsi="Arial"/>
                <w:sz w:val="18"/>
                <w:szCs w:val="18"/>
                <w:b w:val="1"/>
                <w:bCs w:val="1"/>
                <w:color w:val="auto"/>
              </w:rPr>
              <w:t>(3,343,000)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278,800,000</w:t>
            </w:r>
          </w:p>
        </w:tc>
      </w:tr>
    </w:tbl>
    <w:p>
      <w:pPr>
        <w:spacing w:after="0" w:line="18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Excluding the ASC 606 adjustments from our reported results for the year ended December 31, 2019, our consolidated statement of cash flows would include the changes of asset and liability accounts described above, with no impact on our net cash used in operating activities.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reports revenue by segment. The following tables present revenue by segment, as well as a reconciliation to total revenue: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Year ended December 31,</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8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8"/>
              </w:rPr>
              <w:t>Asset Management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Solutions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TechOps</w:t>
            </w: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Revenues</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USM</w:t>
            </w:r>
          </w:p>
        </w:tc>
        <w:tc>
          <w:tcPr>
            <w:tcW w:w="2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39,959,000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2,364,000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42,323,000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Whole Asset Sales</w:t>
            </w: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3,103,000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3,103,000</w:t>
            </w: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Engineered Solutions</w:t>
            </w:r>
          </w:p>
        </w:tc>
        <w:tc>
          <w:tcPr>
            <w:tcW w:w="2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3,964,000</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3,964,000</w:t>
            </w:r>
          </w:p>
        </w:tc>
      </w:tr>
      <w:tr>
        <w:trPr>
          <w:trHeight w:val="210"/>
        </w:trPr>
        <w:tc>
          <w:tcPr>
            <w:tcW w:w="3580" w:type="dxa"/>
            <w:vAlign w:val="bottom"/>
          </w:tcPr>
          <w:p>
            <w:pPr>
              <w:ind w:left="180"/>
              <w:spacing w:after="0"/>
              <w:rPr>
                <w:sz w:val="20"/>
                <w:szCs w:val="20"/>
                <w:color w:val="auto"/>
              </w:rPr>
            </w:pPr>
            <w:r>
              <w:rPr>
                <w:rFonts w:ascii="Arial" w:cs="Arial" w:eastAsia="Arial" w:hAnsi="Arial"/>
                <w:sz w:val="18"/>
                <w:szCs w:val="18"/>
                <w:b w:val="1"/>
                <w:bCs w:val="1"/>
                <w:color w:val="auto"/>
              </w:rPr>
              <w:t>Total Products</w:t>
            </w:r>
          </w:p>
        </w:tc>
        <w:tc>
          <w:tcPr>
            <w:tcW w:w="2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43,062,000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6,328,000</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49,390,000</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Leasing</w:t>
            </w:r>
          </w:p>
        </w:tc>
        <w:tc>
          <w:tcPr>
            <w:tcW w:w="2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55,649,000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55,649,000</w:t>
            </w:r>
          </w:p>
        </w:tc>
      </w:tr>
      <w:tr>
        <w:trPr>
          <w:trHeight w:val="230"/>
        </w:trPr>
        <w:tc>
          <w:tcPr>
            <w:tcW w:w="358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103,899,000</w:t>
            </w: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103,899,000</w:t>
            </w:r>
          </w:p>
        </w:tc>
      </w:tr>
      <w:tr>
        <w:trPr>
          <w:trHeight w:val="210"/>
        </w:trPr>
        <w:tc>
          <w:tcPr>
            <w:tcW w:w="3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2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98,711,000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110,227,000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208,938,000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445"/>
        </w:trPr>
        <w:tc>
          <w:tcPr>
            <w:tcW w:w="3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Year ended December 31,</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8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8"/>
              </w:rPr>
              <w:t>Asset Management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Solutions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TechOps</w:t>
            </w: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Revenues</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USM</w:t>
            </w:r>
          </w:p>
        </w:tc>
        <w:tc>
          <w:tcPr>
            <w:tcW w:w="2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87,442,000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5,489,000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92,931,000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Whole Asset Sales</w:t>
            </w: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70,136,000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70,136,000</w:t>
            </w: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Engineered Solutions</w:t>
            </w:r>
          </w:p>
        </w:tc>
        <w:tc>
          <w:tcPr>
            <w:tcW w:w="2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7,499,000</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7,499,000</w:t>
            </w:r>
          </w:p>
        </w:tc>
      </w:tr>
      <w:tr>
        <w:trPr>
          <w:trHeight w:val="209"/>
        </w:trPr>
        <w:tc>
          <w:tcPr>
            <w:tcW w:w="3580" w:type="dxa"/>
            <w:vAlign w:val="bottom"/>
          </w:tcPr>
          <w:p>
            <w:pPr>
              <w:ind w:left="180"/>
              <w:spacing w:after="0"/>
              <w:rPr>
                <w:sz w:val="20"/>
                <w:szCs w:val="20"/>
                <w:color w:val="auto"/>
              </w:rPr>
            </w:pPr>
            <w:r>
              <w:rPr>
                <w:rFonts w:ascii="Arial" w:cs="Arial" w:eastAsia="Arial" w:hAnsi="Arial"/>
                <w:sz w:val="18"/>
                <w:szCs w:val="18"/>
                <w:b w:val="1"/>
                <w:bCs w:val="1"/>
                <w:color w:val="auto"/>
              </w:rPr>
              <w:t>Total Products</w:t>
            </w:r>
          </w:p>
        </w:tc>
        <w:tc>
          <w:tcPr>
            <w:tcW w:w="2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157,578,000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12,988,000</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170,566,000</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Leasing</w:t>
            </w:r>
          </w:p>
        </w:tc>
        <w:tc>
          <w:tcPr>
            <w:tcW w:w="2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64,246,000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64,246,000</w:t>
            </w:r>
          </w:p>
        </w:tc>
      </w:tr>
      <w:tr>
        <w:trPr>
          <w:trHeight w:val="229"/>
        </w:trPr>
        <w:tc>
          <w:tcPr>
            <w:tcW w:w="358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69,389,000</w:t>
            </w: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69,389,000</w:t>
            </w:r>
          </w:p>
        </w:tc>
      </w:tr>
      <w:tr>
        <w:trPr>
          <w:trHeight w:val="210"/>
        </w:trPr>
        <w:tc>
          <w:tcPr>
            <w:tcW w:w="3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2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221,824,000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82,377,000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304,201,000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648"/>
        </w:trPr>
        <w:tc>
          <w:tcPr>
            <w:tcW w:w="35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w w:val="89"/>
              </w:rPr>
              <w:t>Year ended December 31,</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2018</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5980" w:type="dxa"/>
            <w:vAlign w:val="bottom"/>
          </w:tcPr>
          <w:p>
            <w:pPr>
              <w:spacing w:after="0"/>
              <w:rPr>
                <w:sz w:val="16"/>
                <w:szCs w:val="16"/>
                <w:color w:val="auto"/>
              </w:rPr>
            </w:pPr>
          </w:p>
        </w:tc>
        <w:tc>
          <w:tcPr>
            <w:tcW w:w="1580" w:type="dxa"/>
            <w:vAlign w:val="bottom"/>
            <w:gridSpan w:val="3"/>
          </w:tcPr>
          <w:p>
            <w:pPr>
              <w:jc w:val="right"/>
              <w:ind w:right="60"/>
              <w:spacing w:after="0" w:line="191" w:lineRule="exact"/>
              <w:rPr>
                <w:sz w:val="20"/>
                <w:szCs w:val="20"/>
                <w:color w:val="auto"/>
              </w:rPr>
            </w:pPr>
            <w:r>
              <w:rPr>
                <w:rFonts w:ascii="Arial" w:cs="Arial" w:eastAsia="Arial" w:hAnsi="Arial"/>
                <w:sz w:val="18"/>
                <w:szCs w:val="18"/>
                <w:b w:val="1"/>
                <w:bCs w:val="1"/>
                <w:color w:val="auto"/>
                <w:w w:val="91"/>
              </w:rPr>
              <w:t>Asset Management</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Solutions</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TechOps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6"/>
          </w:tcPr>
          <w:p>
            <w:pPr>
              <w:ind w:left="40"/>
              <w:spacing w:after="0"/>
              <w:rPr>
                <w:sz w:val="20"/>
                <w:szCs w:val="20"/>
                <w:color w:val="auto"/>
              </w:rPr>
            </w:pPr>
            <w:r>
              <w:rPr>
                <w:rFonts w:ascii="Arial" w:cs="Arial" w:eastAsia="Arial" w:hAnsi="Arial"/>
                <w:sz w:val="18"/>
                <w:szCs w:val="18"/>
                <w:b w:val="1"/>
                <w:bCs w:val="1"/>
                <w:color w:val="auto"/>
              </w:rPr>
              <w:t>Total Revenues</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USM</w:t>
            </w: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81,760,000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4,516,000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86,276,000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Whole Asset Sales</w:t>
            </w: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90,039,000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90,039,000</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Engineered Solutions</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2,265,000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2,265,000</w:t>
            </w:r>
          </w:p>
        </w:tc>
        <w:tc>
          <w:tcPr>
            <w:tcW w:w="80" w:type="dxa"/>
            <w:vAlign w:val="bottom"/>
            <w:shd w:val="clear" w:color="auto" w:fill="CCEEFF"/>
          </w:tcPr>
          <w:p>
            <w:pPr>
              <w:spacing w:after="0"/>
              <w:rPr>
                <w:sz w:val="18"/>
                <w:szCs w:val="18"/>
                <w:color w:val="auto"/>
              </w:rPr>
            </w:pP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Total Products</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171,799,000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6,781,000</w:t>
            </w: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178,580,000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Leasing</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73,373,000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73,373,000</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38,779,000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38,779,000</w:t>
            </w:r>
          </w:p>
        </w:tc>
        <w:tc>
          <w:tcPr>
            <w:tcW w:w="80" w:type="dxa"/>
            <w:vAlign w:val="bottom"/>
          </w:tcPr>
          <w:p>
            <w:pPr>
              <w:spacing w:after="0"/>
              <w:rPr>
                <w:sz w:val="18"/>
                <w:szCs w:val="18"/>
                <w:color w:val="auto"/>
              </w:rPr>
            </w:pPr>
          </w:p>
        </w:tc>
      </w:tr>
      <w:tr>
        <w:trPr>
          <w:trHeight w:val="209"/>
        </w:trPr>
        <w:tc>
          <w:tcPr>
            <w:tcW w:w="5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245,172,000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45,560,000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290,732,000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b w:val="1"/>
                <w:bCs w:val="1"/>
                <w:color w:val="auto"/>
              </w:rPr>
              <w:t>NOTE E - INVENTORY</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Inventories at December 31 consisted of the following:</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9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Used serviceable materials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63,277,000</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65,335,000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Work-in-process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20,611,000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16,832,000</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Whole 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56,767,000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12,795,000</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140,655,000</w:t>
            </w:r>
          </w:p>
        </w:tc>
        <w:tc>
          <w:tcPr>
            <w:tcW w:w="1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94,962,000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INTANGIBLE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ASC 350, “Intangibles — Goodwill and Other”, goodwill and other intangible assets deemed to have indefinite lives are not amortized, but are subject to annual impairment tests. We review and evaluate our goodwill and indefinite life intangible assets for potential impairment at a minimum annually or more frequently if circumstances indicate that impairment is possible.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determined the fair value of assets acquired and liabilities assumed using a variety of methods. An income approach based on discounted cash flows was used to determine the values of our trademarks, certifications, customer relationships and FAA certificates. The assumptions we used to estimate the fair value of our reporting units are based on historical performance, as well as forecasts used in our current business plan and require considerable management judgment.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goodwill and intangible assets as defined by ASC 350 is related to our subsidiaries, AerSale Component Solutions (“ACS”), Avborne, and the newly acquired ACT, which are included in the TechOps segment, as well as Qwest, which is included under the Asset Management Solutions segment. Goodwill and other intangibles as of December 31, 2020 and December 31, 2019 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CCEEFF"/>
            </w:tcBorders>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Qwest:</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40"/>
              <w:spacing w:after="0"/>
              <w:rPr>
                <w:sz w:val="20"/>
                <w:szCs w:val="20"/>
                <w:color w:val="auto"/>
              </w:rPr>
            </w:pPr>
            <w:r>
              <w:rPr>
                <w:rFonts w:ascii="Arial" w:cs="Arial" w:eastAsia="Arial" w:hAnsi="Arial"/>
                <w:sz w:val="18"/>
                <w:szCs w:val="18"/>
                <w:b w:val="1"/>
                <w:bCs w:val="1"/>
                <w:color w:val="auto"/>
              </w:rPr>
              <w:t>FAA Certifications</w:t>
            </w:r>
          </w:p>
        </w:tc>
        <w:tc>
          <w:tcPr>
            <w:tcW w:w="3980" w:type="dxa"/>
            <w:vAlign w:val="bottom"/>
            <w:gridSpan w:val="2"/>
          </w:tcPr>
          <w:p>
            <w:pPr>
              <w:jc w:val="right"/>
              <w:ind w:right="147"/>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724,000</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724,000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Goodwill</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13,416,000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13,416,000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ACS:</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FAA Certifications</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710,000</w:t>
            </w:r>
          </w:p>
        </w:tc>
        <w:tc>
          <w:tcPr>
            <w:tcW w:w="0" w:type="dxa"/>
            <w:vAlign w:val="bottom"/>
          </w:tcPr>
          <w:p>
            <w:pPr>
              <w:spacing w:after="0"/>
              <w:rPr>
                <w:sz w:val="1"/>
                <w:szCs w:val="1"/>
                <w:color w:val="auto"/>
              </w:rPr>
            </w:pPr>
          </w:p>
        </w:tc>
      </w:tr>
      <w:tr>
        <w:trPr>
          <w:trHeight w:val="216"/>
        </w:trPr>
        <w:tc>
          <w:tcPr>
            <w:tcW w:w="4540" w:type="dxa"/>
            <w:vAlign w:val="bottom"/>
          </w:tcPr>
          <w:p>
            <w:pPr>
              <w:ind w:left="340"/>
              <w:spacing w:after="0"/>
              <w:rPr>
                <w:sz w:val="20"/>
                <w:szCs w:val="20"/>
                <w:color w:val="auto"/>
              </w:rPr>
            </w:pPr>
            <w:r>
              <w:rPr>
                <w:rFonts w:ascii="Arial" w:cs="Arial" w:eastAsia="Arial" w:hAnsi="Arial"/>
                <w:sz w:val="18"/>
                <w:szCs w:val="18"/>
                <w:b w:val="1"/>
                <w:bCs w:val="1"/>
                <w:color w:val="auto"/>
              </w:rPr>
              <w:t>Goodwill</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379,000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379,000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Avborne:</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40"/>
              <w:spacing w:after="0"/>
              <w:rPr>
                <w:sz w:val="20"/>
                <w:szCs w:val="20"/>
                <w:color w:val="auto"/>
              </w:rPr>
            </w:pPr>
            <w:r>
              <w:rPr>
                <w:rFonts w:ascii="Arial" w:cs="Arial" w:eastAsia="Arial" w:hAnsi="Arial"/>
                <w:sz w:val="18"/>
                <w:szCs w:val="18"/>
                <w:b w:val="1"/>
                <w:bCs w:val="1"/>
                <w:color w:val="auto"/>
              </w:rPr>
              <w:t>Trademarks</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FAA certificates</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7,300,000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7,300,000</w:t>
            </w:r>
          </w:p>
        </w:tc>
        <w:tc>
          <w:tcPr>
            <w:tcW w:w="0" w:type="dxa"/>
            <w:vAlign w:val="bottom"/>
          </w:tcPr>
          <w:p>
            <w:pPr>
              <w:spacing w:after="0"/>
              <w:rPr>
                <w:sz w:val="1"/>
                <w:szCs w:val="1"/>
                <w:color w:val="auto"/>
              </w:rPr>
            </w:pPr>
          </w:p>
        </w:tc>
      </w:tr>
      <w:tr>
        <w:trPr>
          <w:trHeight w:val="216"/>
        </w:trPr>
        <w:tc>
          <w:tcPr>
            <w:tcW w:w="4540" w:type="dxa"/>
            <w:vAlign w:val="bottom"/>
          </w:tcPr>
          <w:p>
            <w:pPr>
              <w:ind w:left="340"/>
              <w:spacing w:after="0"/>
              <w:rPr>
                <w:sz w:val="20"/>
                <w:szCs w:val="20"/>
                <w:color w:val="auto"/>
              </w:rPr>
            </w:pPr>
            <w:r>
              <w:rPr>
                <w:rFonts w:ascii="Arial" w:cs="Arial" w:eastAsia="Arial" w:hAnsi="Arial"/>
                <w:sz w:val="18"/>
                <w:szCs w:val="18"/>
                <w:b w:val="1"/>
                <w:bCs w:val="1"/>
                <w:color w:val="auto"/>
              </w:rPr>
              <w:t>Goodwill</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40"/>
              <w:spacing w:after="0"/>
              <w:rPr>
                <w:sz w:val="20"/>
                <w:szCs w:val="20"/>
                <w:color w:val="auto"/>
              </w:rPr>
            </w:pPr>
            <w:r>
              <w:rPr>
                <w:rFonts w:ascii="Arial" w:cs="Arial" w:eastAsia="Arial" w:hAnsi="Arial"/>
                <w:sz w:val="18"/>
                <w:szCs w:val="18"/>
                <w:b w:val="1"/>
                <w:bCs w:val="1"/>
                <w:color w:val="auto"/>
              </w:rPr>
              <w:t>Trademarks</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FAA Certificates</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796,000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tcPr>
          <w:p>
            <w:pPr>
              <w:ind w:left="340"/>
              <w:spacing w:after="0"/>
              <w:rPr>
                <w:sz w:val="20"/>
                <w:szCs w:val="20"/>
                <w:color w:val="auto"/>
              </w:rPr>
            </w:pPr>
            <w:r>
              <w:rPr>
                <w:rFonts w:ascii="Arial" w:cs="Arial" w:eastAsia="Arial" w:hAnsi="Arial"/>
                <w:sz w:val="18"/>
                <w:szCs w:val="18"/>
                <w:b w:val="1"/>
                <w:bCs w:val="1"/>
                <w:color w:val="auto"/>
              </w:rPr>
              <w:t>Goodwill</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6,002,000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intangible assets with indefinite lives</w:t>
            </w:r>
          </w:p>
        </w:tc>
        <w:tc>
          <w:tcPr>
            <w:tcW w:w="36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30,190,000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23,192,000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680" w:type="dxa"/>
            <w:vAlign w:val="bottom"/>
            <w:vMerge w:val="restart"/>
          </w:tcPr>
          <w:p>
            <w:pPr>
              <w:jc w:val="right"/>
              <w:ind w:right="2430"/>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60" w:name="page61"/>
    <w:bookmarkEnd w:id="60"/>
    <w:p>
      <w:pPr>
        <w:jc w:val="both"/>
        <w:ind w:right="20" w:firstLine="648"/>
        <w:spacing w:after="0" w:line="277" w:lineRule="auto"/>
        <w:rPr>
          <w:sz w:val="20"/>
          <w:szCs w:val="20"/>
          <w:color w:val="auto"/>
        </w:rPr>
      </w:pPr>
      <w:r>
        <w:rPr>
          <w:rFonts w:ascii="Arial" w:cs="Arial" w:eastAsia="Arial" w:hAnsi="Arial"/>
          <w:sz w:val="18"/>
          <w:szCs w:val="18"/>
          <w:color w:val="auto"/>
        </w:rPr>
        <w:t>The Company performed a quantitative impairment analysis as of July 1, 2020 on the indefinite lived intangible assets and concluded there was no impairments.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 COVID-19 pandemic and its impact on the aviation industry, AerSale performed a qualitative impairment analysis as of June 30, 2020 on the goodwill for the Asset Management Solutions and TechOps segment and concluded there was no impairment. Additionally, the Company performed a quantitative impairment analysis as of October 1, 2020 and concluded there was no impairment.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Intangible assets with definite useful lives are amortized on a straight-line basis over their estimated useful lives. Intangible assets with definite lives as of December 31, 2020 and 2019 are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Useful</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8"/>
              </w:rPr>
              <w:t>Life In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Years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Qwest:</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20"/>
              <w:spacing w:after="0"/>
              <w:rPr>
                <w:sz w:val="20"/>
                <w:szCs w:val="20"/>
                <w:color w:val="auto"/>
              </w:rPr>
            </w:pPr>
            <w:r>
              <w:rPr>
                <w:rFonts w:ascii="Arial" w:cs="Arial" w:eastAsia="Arial" w:hAnsi="Arial"/>
                <w:sz w:val="18"/>
                <w:szCs w:val="18"/>
                <w:b w:val="1"/>
                <w:bCs w:val="1"/>
                <w:color w:val="auto"/>
              </w:rPr>
              <w:t>Customer relationships</w:t>
            </w:r>
          </w:p>
        </w:tc>
        <w:tc>
          <w:tcPr>
            <w:tcW w:w="2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8,083,000</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9,058,000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20"/>
              <w:spacing w:after="0"/>
              <w:rPr>
                <w:sz w:val="20"/>
                <w:szCs w:val="20"/>
                <w:color w:val="auto"/>
              </w:rPr>
            </w:pPr>
            <w:r>
              <w:rPr>
                <w:rFonts w:ascii="Arial" w:cs="Arial" w:eastAsia="Arial" w:hAnsi="Arial"/>
                <w:sz w:val="18"/>
                <w:szCs w:val="18"/>
                <w:b w:val="1"/>
                <w:bCs w:val="1"/>
                <w:color w:val="auto"/>
              </w:rPr>
              <w:t>Customer relationships</w:t>
            </w:r>
          </w:p>
        </w:tc>
        <w:tc>
          <w:tcPr>
            <w:tcW w:w="2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90,000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110,000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Avborne: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20"/>
              <w:spacing w:after="0"/>
              <w:rPr>
                <w:sz w:val="20"/>
                <w:szCs w:val="20"/>
                <w:color w:val="auto"/>
              </w:rPr>
            </w:pPr>
            <w:r>
              <w:rPr>
                <w:rFonts w:ascii="Arial" w:cs="Arial" w:eastAsia="Arial" w:hAnsi="Arial"/>
                <w:sz w:val="18"/>
                <w:szCs w:val="18"/>
                <w:b w:val="1"/>
                <w:bCs w:val="1"/>
                <w:color w:val="auto"/>
              </w:rPr>
              <w:t>Customer relationships</w:t>
            </w:r>
          </w:p>
        </w:tc>
        <w:tc>
          <w:tcPr>
            <w:tcW w:w="2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1,663,000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1,873,000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320"/>
              <w:spacing w:after="0"/>
              <w:rPr>
                <w:sz w:val="20"/>
                <w:szCs w:val="20"/>
                <w:color w:val="auto"/>
              </w:rPr>
            </w:pPr>
            <w:r>
              <w:rPr>
                <w:rFonts w:ascii="Arial" w:cs="Arial" w:eastAsia="Arial" w:hAnsi="Arial"/>
                <w:sz w:val="18"/>
                <w:szCs w:val="18"/>
                <w:b w:val="1"/>
                <w:bCs w:val="1"/>
                <w:color w:val="auto"/>
              </w:rPr>
              <w:t>Customer relationships</w:t>
            </w:r>
          </w:p>
        </w:tc>
        <w:tc>
          <w:tcPr>
            <w:tcW w:w="260" w:type="dxa"/>
            <w:vAlign w:val="bottom"/>
          </w:tcPr>
          <w:p>
            <w:pPr>
              <w:spacing w:after="0"/>
              <w:rPr>
                <w:sz w:val="19"/>
                <w:szCs w:val="19"/>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8,198,000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intangible assets with definite lives</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18,034,000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Amortization expense was as follows:</w:t>
            </w: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 expense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2,108,000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789,000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97 ,000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estimated aggregate amount of amortization expense for intangible assets in each fiscal year from 2021 through 2025 is $2,100,000. Accumulated amortization amounted to $2,967,000 and $859,000 as of December 31, 2020 and December 31, 2019, respectively. Goodwill activity for the years ended December 31, 2020 and 2019 consisted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w:t>
            </w:r>
          </w:p>
        </w:tc>
        <w:tc>
          <w:tcPr>
            <w:tcW w:w="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Management</w:t>
            </w:r>
          </w:p>
        </w:tc>
        <w:tc>
          <w:tcPr>
            <w:tcW w:w="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Solutions</w:t>
            </w:r>
          </w:p>
        </w:tc>
        <w:tc>
          <w:tcPr>
            <w:tcW w:w="460" w:type="dxa"/>
            <w:vAlign w:val="bottom"/>
          </w:tcPr>
          <w:p>
            <w:pPr>
              <w:spacing w:after="0"/>
              <w:rPr>
                <w:sz w:val="20"/>
                <w:szCs w:val="20"/>
                <w:color w:val="auto"/>
              </w:rPr>
            </w:pPr>
          </w:p>
        </w:tc>
        <w:tc>
          <w:tcPr>
            <w:tcW w:w="210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TechOps</w:t>
            </w:r>
          </w:p>
        </w:tc>
        <w:tc>
          <w:tcPr>
            <w:tcW w:w="540" w:type="dxa"/>
            <w:vAlign w:val="bottom"/>
          </w:tcPr>
          <w:p>
            <w:pPr>
              <w:spacing w:after="0"/>
              <w:rPr>
                <w:sz w:val="20"/>
                <w:szCs w:val="20"/>
                <w:color w:val="auto"/>
              </w:rPr>
            </w:pP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 as of December 31, 2018</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b w:val="1"/>
                <w:bCs w:val="1"/>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442,000</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rPr>
              <w:t>Additions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13,416,000</w:t>
            </w:r>
          </w:p>
        </w:tc>
        <w:tc>
          <w:tcPr>
            <w:tcW w:w="46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13,416,000</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 as of December 31, 2019</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13,416,000</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b w:val="1"/>
                <w:bCs w:val="1"/>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442,000</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13,858,000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rPr>
              <w:t>Additions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6,002,000</w:t>
            </w:r>
          </w:p>
        </w:tc>
        <w:tc>
          <w:tcPr>
            <w:tcW w:w="5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6,002,000</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 as of December 31, 2020</w:t>
            </w:r>
          </w:p>
        </w:tc>
        <w:tc>
          <w:tcPr>
            <w:tcW w:w="6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8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13,416,000</w:t>
            </w: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b w:val="1"/>
                <w:bCs w:val="1"/>
                <w:color w:val="auto"/>
                <w:w w:val="71"/>
              </w:rPr>
              <w:t>$</w:t>
            </w:r>
          </w:p>
        </w:tc>
        <w:tc>
          <w:tcPr>
            <w:tcW w:w="21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6,444,000</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19,860,000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8"/>
        </w:trPr>
        <w:tc>
          <w:tcPr>
            <w:tcW w:w="3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1" w:name="page62"/>
    <w:bookmarkEnd w:id="61"/>
    <w:p>
      <w:pPr>
        <w:jc w:val="both"/>
        <w:ind w:firstLine="648"/>
        <w:spacing w:after="0" w:line="277" w:lineRule="auto"/>
        <w:rPr>
          <w:sz w:val="20"/>
          <w:szCs w:val="20"/>
          <w:color w:val="auto"/>
        </w:rPr>
      </w:pPr>
      <w:r>
        <w:rPr>
          <w:rFonts w:ascii="Arial" w:cs="Arial" w:eastAsia="Arial" w:hAnsi="Arial"/>
          <w:sz w:val="18"/>
          <w:szCs w:val="18"/>
          <w:color w:val="auto"/>
        </w:rPr>
        <w:t>Other intangible assets are reviewed at least annually or more frequently if any event or change in circumstance indicates that an impairment may have occurred.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NOTE G - PROPERTY AND EQUIPMENT, NET</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color w:val="auto"/>
              </w:rPr>
              <w:t>Property and equipment, net, consist of the following:</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6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Years</w:t>
            </w: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Tooling and equipment</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7-15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13,465,000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12,351,000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Furniture and other equipment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79"/>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7,379,000</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6,111,000</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Computer software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2,378,000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2,291,000</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Leasehold improvements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3 - 6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3,314,000</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3,142,000</w:t>
            </w:r>
          </w:p>
        </w:tc>
        <w:tc>
          <w:tcPr>
            <w:tcW w:w="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Equipment under capital lease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197,000</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431,000</w:t>
            </w:r>
          </w:p>
        </w:tc>
        <w:tc>
          <w:tcPr>
            <w:tcW w:w="80" w:type="dxa"/>
            <w:vAlign w:val="bottom"/>
            <w:shd w:val="clear" w:color="auto" w:fill="CCEEFF"/>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26,733,000</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24,326,000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accumulated depreciation</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(18,894,000)</w:t>
            </w: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(16,864,000)</w:t>
            </w:r>
          </w:p>
        </w:tc>
      </w:tr>
      <w:tr>
        <w:trPr>
          <w:trHeight w:val="223"/>
        </w:trPr>
        <w:tc>
          <w:tcPr>
            <w:tcW w:w="6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7,839,000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7,462,000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which includes amortization of equipment under capital lease, was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expense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2,139,000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2,223,000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2,121,000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Effective August 31, 2018, property and equipment of AerLine was deconsolidated (see Note R for further details). AerLine depreciation expense amounted to $41,000 for the year ended December 31, 2018, and is included in discontinued operations in the accompanying consolidated statements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NOTE H - AIRCRAFT AND ENGINES HELD FOR LEASE AND LEASE RENTAL</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Aircraft and engines held for operating leases, net, consists of the following:</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60" w:type="dxa"/>
            <w:vAlign w:val="bottom"/>
          </w:tcPr>
          <w:p>
            <w:pPr>
              <w:spacing w:after="0"/>
              <w:rPr>
                <w:sz w:val="24"/>
                <w:szCs w:val="24"/>
                <w:color w:val="auto"/>
              </w:rPr>
            </w:pPr>
          </w:p>
        </w:tc>
        <w:tc>
          <w:tcPr>
            <w:tcW w:w="77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Aircraft and engines held for operating leases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228,942,000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246,883,000</w:t>
            </w:r>
          </w:p>
        </w:tc>
        <w:tc>
          <w:tcPr>
            <w:tcW w:w="100" w:type="dxa"/>
            <w:vAlign w:val="bottom"/>
            <w:shd w:val="clear" w:color="auto" w:fill="CCEEFF"/>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Less accumulated depreciation</w:t>
            </w:r>
          </w:p>
        </w:tc>
        <w:tc>
          <w:tcPr>
            <w:tcW w:w="2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(142,098,000)</w:t>
            </w: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8"/>
              </w:rPr>
              <w:t>(134,987,000)</w:t>
            </w:r>
          </w:p>
        </w:tc>
      </w:tr>
      <w:tr>
        <w:trPr>
          <w:trHeight w:val="223"/>
        </w:trPr>
        <w:tc>
          <w:tcPr>
            <w:tcW w:w="660" w:type="dxa"/>
            <w:vAlign w:val="bottom"/>
          </w:tcPr>
          <w:p>
            <w:pPr>
              <w:spacing w:after="0"/>
              <w:rPr>
                <w:sz w:val="19"/>
                <w:szCs w:val="19"/>
                <w:color w:val="auto"/>
              </w:rPr>
            </w:pPr>
          </w:p>
        </w:tc>
        <w:tc>
          <w:tcPr>
            <w:tcW w:w="77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86,844,000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111,896,000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Depreciation expense related to assets leased to AerLine amounted to $1,659,000 for the year ended December 31, 2018 and is included in discontinued operations in the consolidated statements of operations. The Company recorded an impairment of leased assets in the amount of $3,036,000 for the year ended December 31, 2020 and is included in cost of leasing in the consolidated statements of operations.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depreciation expense included in cost of leasing in the consolidated statements of operations, excluding amounts for assets leased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AerLine,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ind w:left="860"/>
              <w:spacing w:after="0"/>
              <w:rPr>
                <w:sz w:val="20"/>
                <w:szCs w:val="20"/>
                <w:color w:val="auto"/>
              </w:rPr>
            </w:pPr>
            <w:r>
              <w:rPr>
                <w:rFonts w:ascii="Arial" w:cs="Arial" w:eastAsia="Arial" w:hAnsi="Arial"/>
                <w:sz w:val="18"/>
                <w:szCs w:val="18"/>
                <w:b w:val="1"/>
                <w:bCs w:val="1"/>
                <w:color w:val="auto"/>
                <w:w w:val="95"/>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60" w:type="dxa"/>
            <w:vAlign w:val="bottom"/>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expense</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88"/>
              </w:rPr>
              <w:t>19,976,000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88"/>
              </w:rPr>
              <w:t>27,064,000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88"/>
              </w:rPr>
              <w:t>27,609,000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Contingent rental fees recognized as revenues related to supplemental rent were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ind w:left="860"/>
              <w:spacing w:after="0"/>
              <w:rPr>
                <w:sz w:val="20"/>
                <w:szCs w:val="20"/>
                <w:color w:val="auto"/>
              </w:rPr>
            </w:pPr>
            <w:r>
              <w:rPr>
                <w:rFonts w:ascii="Arial" w:cs="Arial" w:eastAsia="Arial" w:hAnsi="Arial"/>
                <w:sz w:val="18"/>
                <w:szCs w:val="18"/>
                <w:b w:val="1"/>
                <w:bCs w:val="1"/>
                <w:color w:val="auto"/>
                <w:w w:val="95"/>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Contingent rental fees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86"/>
              </w:rPr>
              <w:t>11,851,000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88"/>
              </w:rPr>
              <w:t>21,550,000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88"/>
              </w:rPr>
              <w:t>29,186,000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current operating lease agreements for flight equipment on lease expire over the next month to three years. The amounts in the following table are based upon the assumption that flight equipment under operating leases will remain on lease for the length of time specified by the respective lease agreements. Minimum future annual lease rentals contracted to be received under existing operating leases of flight equipment at December 31, 2020 were as follows:</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9300" w:type="dxa"/>
            <w:vAlign w:val="bottom"/>
            <w:shd w:val="clear" w:color="auto" w:fill="CCEEFF"/>
          </w:tcPr>
          <w:p>
            <w:pPr>
              <w:jc w:val="right"/>
              <w:ind w:right="8850"/>
              <w:spacing w:after="0"/>
              <w:rPr>
                <w:sz w:val="20"/>
                <w:szCs w:val="20"/>
                <w:color w:val="auto"/>
              </w:rPr>
            </w:pPr>
            <w:r>
              <w:rPr>
                <w:rFonts w:ascii="Arial" w:cs="Arial" w:eastAsia="Arial" w:hAnsi="Arial"/>
                <w:sz w:val="18"/>
                <w:szCs w:val="18"/>
                <w:b w:val="1"/>
                <w:bCs w:val="1"/>
                <w:color w:val="auto"/>
                <w:w w:val="84"/>
              </w:rPr>
              <w:t>2021</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22,819,000</w:t>
            </w:r>
          </w:p>
        </w:tc>
        <w:tc>
          <w:tcPr>
            <w:tcW w:w="80" w:type="dxa"/>
            <w:vAlign w:val="bottom"/>
            <w:shd w:val="clear" w:color="auto" w:fill="CCEEFF"/>
          </w:tcPr>
          <w:p>
            <w:pPr>
              <w:spacing w:after="0"/>
              <w:rPr>
                <w:sz w:val="18"/>
                <w:szCs w:val="18"/>
                <w:color w:val="auto"/>
              </w:rPr>
            </w:pPr>
          </w:p>
        </w:tc>
      </w:tr>
      <w:tr>
        <w:trPr>
          <w:trHeight w:val="216"/>
        </w:trPr>
        <w:tc>
          <w:tcPr>
            <w:tcW w:w="9300" w:type="dxa"/>
            <w:vAlign w:val="bottom"/>
          </w:tcPr>
          <w:p>
            <w:pPr>
              <w:jc w:val="right"/>
              <w:ind w:right="8850"/>
              <w:spacing w:after="0"/>
              <w:rPr>
                <w:sz w:val="20"/>
                <w:szCs w:val="20"/>
                <w:color w:val="auto"/>
              </w:rPr>
            </w:pPr>
            <w:r>
              <w:rPr>
                <w:rFonts w:ascii="Arial" w:cs="Arial" w:eastAsia="Arial" w:hAnsi="Arial"/>
                <w:sz w:val="18"/>
                <w:szCs w:val="18"/>
                <w:b w:val="1"/>
                <w:bCs w:val="1"/>
                <w:color w:val="auto"/>
                <w:w w:val="84"/>
              </w:rPr>
              <w:t>2022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11,045,000</w:t>
            </w:r>
          </w:p>
        </w:tc>
        <w:tc>
          <w:tcPr>
            <w:tcW w:w="80" w:type="dxa"/>
            <w:vAlign w:val="bottom"/>
          </w:tcPr>
          <w:p>
            <w:pPr>
              <w:spacing w:after="0"/>
              <w:rPr>
                <w:sz w:val="18"/>
                <w:szCs w:val="18"/>
                <w:color w:val="auto"/>
              </w:rPr>
            </w:pPr>
          </w:p>
        </w:tc>
      </w:tr>
      <w:tr>
        <w:trPr>
          <w:trHeight w:val="230"/>
        </w:trPr>
        <w:tc>
          <w:tcPr>
            <w:tcW w:w="9300" w:type="dxa"/>
            <w:vAlign w:val="bottom"/>
            <w:shd w:val="clear" w:color="auto" w:fill="CCEEFF"/>
          </w:tcPr>
          <w:p>
            <w:pPr>
              <w:jc w:val="right"/>
              <w:ind w:right="8850"/>
              <w:spacing w:after="0"/>
              <w:rPr>
                <w:sz w:val="20"/>
                <w:szCs w:val="20"/>
                <w:color w:val="auto"/>
              </w:rPr>
            </w:pPr>
            <w:r>
              <w:rPr>
                <w:rFonts w:ascii="Arial" w:cs="Arial" w:eastAsia="Arial" w:hAnsi="Arial"/>
                <w:sz w:val="18"/>
                <w:szCs w:val="18"/>
                <w:b w:val="1"/>
                <w:bCs w:val="1"/>
                <w:color w:val="auto"/>
                <w:w w:val="84"/>
              </w:rPr>
              <w:t>2023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2,022,000</w:t>
            </w:r>
          </w:p>
        </w:tc>
        <w:tc>
          <w:tcPr>
            <w:tcW w:w="80" w:type="dxa"/>
            <w:vAlign w:val="bottom"/>
            <w:shd w:val="clear" w:color="auto" w:fill="CCEEFF"/>
          </w:tcPr>
          <w:p>
            <w:pPr>
              <w:spacing w:after="0"/>
              <w:rPr>
                <w:sz w:val="19"/>
                <w:szCs w:val="19"/>
                <w:color w:val="auto"/>
              </w:rPr>
            </w:pPr>
          </w:p>
        </w:tc>
      </w:tr>
      <w:tr>
        <w:trPr>
          <w:trHeight w:val="223"/>
        </w:trPr>
        <w:tc>
          <w:tcPr>
            <w:tcW w:w="9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35,886,000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FAIR VALUE MEASUREMENTS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either directly or indirectly, such as quoted prices for similar assets or liabilities or market corroborated inputs.</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Level 3: Unobservable inputs for which there is little or no market data and which require the Company to develop our own assumptions about how market participants price the asset or liability. The valuation techniques that may be used to measure fair value are as follows: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approach - Uses prices and other relevant information generated by market transactions involving identical or comparable assets or liabilities.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approach - Uses valuation techniques to convert future amounts to a single present amount based on current market expectation about those future amounts.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Cost approach - Based on the amount that currently would be required to replace the service capacity of an asset (replacement cost).</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would measure the fair value of certain assets and liabilities on a nonrecurring basis, when U.S. GAAP requires the application of fair value, including events or changes in circumstances that indicate that the carrying amounts of assets may not be recoverable. Assets subject to these measurements include intangible assets acquired in business combinations.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financial instruments, other than cash, consist principally of accounts receivable and accounts payable. The fair value of such approximates the carrying value of these financial instruments because of their short-term nature. Borrowings under the Revolving Credit Facility approximate fair value due to the variable interest rate on the facility and the recent amendment during the year.</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660" w:right="600"/>
        <w:spacing w:after="0" w:line="277" w:lineRule="auto"/>
        <w:rPr>
          <w:sz w:val="20"/>
          <w:szCs w:val="20"/>
          <w:color w:val="auto"/>
        </w:rPr>
      </w:pPr>
      <w:r>
        <w:rPr>
          <w:rFonts w:ascii="Arial" w:cs="Arial" w:eastAsia="Arial" w:hAnsi="Arial"/>
          <w:sz w:val="18"/>
          <w:szCs w:val="18"/>
          <w:color w:val="auto"/>
        </w:rPr>
        <w:t>The estimated fair values of the Company’s borrowings, excluding the Revolving Credit Facility (Note K), as of December 31, 2019 are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Carrying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$35.0 million Senior Secured Notes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3,424,273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3,792,768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Senior Secured Notes and borrowings under the Revolving Credit Facility are carried at historical cost and adjusted for principal payments. The respective fair values of these financial instruments are based on discounted cash flows using market-based credit spreads to establish a discount rate. The Company believes the valuation techniques applied reflect the assumptions that market participants would use in the principal or most advantageous market for issuance of the asset and liability with the same contractual terms. The senior secured notes are classified within Level 3 of the fair value hierarchy.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NOTE J - ACCRUED EXPENSES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The following is a summary of the components of accrued expenses as of:</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77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compensation and related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6,624,000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Accrued legal fees</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18,000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2,462,000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Commission fee accrual</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103,000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363,000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Accrued federal, state and local taxes and fees</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130,000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1,702,000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1,082,000</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8,577,000</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K - FINANCING ARRANGEMENTS</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Outstanding debt obligations as of December 31, 2020 and 2019 consist of the following:</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77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60" w:type="dxa"/>
            <w:vAlign w:val="bottom"/>
          </w:tcPr>
          <w:p>
            <w:pPr>
              <w:spacing w:after="0"/>
              <w:rPr>
                <w:sz w:val="15"/>
                <w:szCs w:val="15"/>
                <w:color w:val="auto"/>
              </w:rPr>
            </w:pPr>
          </w:p>
        </w:tc>
        <w:tc>
          <w:tcPr>
            <w:tcW w:w="77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3"/>
              </w:rPr>
              <w:t>$110.0 million Wells Fargo Senior Secured Revolving Credit Facility LIBOR plus margin, interest</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 monthly, maturity at July 20,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7720" w:type="dxa"/>
            <w:vAlign w:val="bottom"/>
          </w:tcPr>
          <w:p>
            <w:pPr>
              <w:spacing w:after="0" w:line="198" w:lineRule="exact"/>
              <w:rPr>
                <w:sz w:val="20"/>
                <w:szCs w:val="20"/>
                <w:color w:val="auto"/>
              </w:rPr>
            </w:pPr>
            <w:r>
              <w:rPr>
                <w:rFonts w:ascii="Arial" w:cs="Arial" w:eastAsia="Arial" w:hAnsi="Arial"/>
                <w:sz w:val="18"/>
                <w:szCs w:val="18"/>
                <w:b w:val="1"/>
                <w:bCs w:val="1"/>
                <w:color w:val="auto"/>
              </w:rPr>
              <w:t>$35.0 million Senior Secured Notes, interest payable with principal monthly, maturity at</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August 19, 2020 net of debt issuance costs of $72,000 as of December 31, 2019</w:t>
            </w: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3,352,000</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Less current portion</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(3,352,000)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December 31, 2020 and 2019, total unamortized debt issuance costs were $367,000 and $1,107,000, respectively. Included in deferred financing costs, net, is $367,000 and $1,035,000 unamortized deferred financing costs related to the Wells Fargo Senior Secured Revolving Credit Facility as of December 31, 2020 and 2019, respectively. Included as a direct reduction to the corresponding long-term debt is unamortized deferred financing costs of $72,000 as of December 31, 2019. Amortized debt issuance costs is recorded in interest expense through maturity of the related debt using the straight-line method, which approximates the effective interest method.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26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 expense</w:t>
            </w: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740,000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1,020,000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auto"/>
        </w:rPr>
        <w:t>$110.0 million Wells Fargo Senior Secured Revolving Credit Facility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11, 2011, AerSale, Inc. and other subsidiary borrowers signatory (collectively, “the Borrowers”) entered into a secured credit agreement (“Revolving Credit Agreement”) with Wells Fargo Bank, N.A. as administrative agent and lender, and the other lenders signatory thereto from time to time (collectively, “the Lenders”).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20, 2018, the Revolving Credit Agreement was restated and amended (“Amended and Restated Credit Agreement”) (“the Fifth Amendment”) to, among other things, provide a $110.0 million aggregate amount of revolver commitments subject to borrowing base limitations and extend, subject to certain conditions, the maturity date to July 20, 2021. Previous amendments predominantly accomplished maturity term extensions as well as modification to the syndicate of banks.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Amended and Restated Credit Agreement includes a $10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Amended and Restated Credit Agreement. Extensions of credit under the Amended and Restated Credit Agreement are available for working capital and general corporate purposes. The commitments under the Amended and Restated Credit Agreement terminate on July 20, 2021, at which time all outstanding amounts on the Amended and Restated Credit Agreement will be due and payable.</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there was no outstanding balance under the Amended and Restated Credit Agreement and the Company had $83.7 million of availability.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there was no outstanding balance under the Amended and Restated Credit Agreement and the Company had $94.3 million of availability.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obligations of the Borrowers under the Amended and Restated Credit Agreement are guaranteed by the Company, and other subsidiaries of AerSale, Inc. may be designated as borrowers on a joint and several basis. Such obligations are also secured by substantially all of the assets of the Company.</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interest rate applicable to loans outstanding on the Amended and Restated Credit Agreement is a floating rate of interest per annum of LIBOR plus a margin of 3.50%. The interest rate as of December 31, 2020 and 2019 was 5.75% and 7.25%, respectively. In addition, a commitment fee applies to the unused portion of the commitments under the Amended and Restated Credit Agreement.</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Borrowers’ ability to borrow on the Amended and Restated Credit Agreement is subject to ongoing compliance by the Company and the Borrowers with various customary affirmative and negative covenants. The Amended and Restated Credit Agreement requires the Company and Borrowers to meet certain financial and nonfinancial covenants. The Company was in compliance with these covenants as of December 31, 2020 and 2019.</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Interest expense on the Revolving Credit Agreement was as follows: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1,389,000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703,000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March 12, 2021, the Company amended its Revolving Credit Agreement to provide a $150.0 million aggregate amount of revolver commitments subject to borrowing base limitations and extend, subject to certain conditions, the maturity date to March 12,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$35.0 million Senior Secured Notes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20, 2012, Gables MSN 26343 Limited and AerSale Aviation Limited (collectively, “the Borrowers”), wholly owned subsidiaries of the Company, completed a $35.0 million private placement at par of senior secured notes that mature on August 19, 2020 (“Senior Secured Notes”). The Senior Secured Notes bear interest at a fixed rate per annum of 8%. Principal and interest on the Senior Secured Notes is payable monthly in arrears on the 19th day of each succeeding month, commencing on October 19, 2012.</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648"/>
        <w:spacing w:after="0" w:line="263" w:lineRule="auto"/>
        <w:rPr>
          <w:sz w:val="20"/>
          <w:szCs w:val="20"/>
          <w:color w:val="auto"/>
        </w:rPr>
      </w:pPr>
      <w:r>
        <w:rPr>
          <w:rFonts w:ascii="Arial" w:cs="Arial" w:eastAsia="Arial" w:hAnsi="Arial"/>
          <w:sz w:val="18"/>
          <w:szCs w:val="18"/>
          <w:color w:val="auto"/>
        </w:rPr>
        <w:t>The Senior Secured Notes could have been redeemed by Gables MSN 26343 Limited at any time upon not less than 5 days’ notice at a redemption price equal to 100% of the outstanding principal amount thereof, together with accrued and unpaid interest thereon to the date of redemption, plus the applicable prepayment fee based on the amount of time elapsed since the anniversary date of the indenture.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Senior Secured Notes are unconditionally and irrevocably guaranteed by AerSale334 Aviation Limited. The Senior Secured Notes are also collateralized by a first priority mortgage and security interest in a Boeing Model 747-400BDSF aircraft owned by Gables MSN 26343 Limited and a collateral assignment of a lease associated with such aircraft. The indenture governing the Senior Secured Notes contains nonfinancial covenants that must be met. Effective June 2020, the Company paid all outstanding balances due on this note.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expense on the Senior Secured Notes was as follows: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6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516 ,000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938,000</w:t>
            </w:r>
          </w:p>
        </w:tc>
        <w:tc>
          <w:tcPr>
            <w:tcW w:w="100" w:type="dxa"/>
            <w:vAlign w:val="bottom"/>
            <w:shd w:val="clear" w:color="auto" w:fill="CCEEFF"/>
          </w:tcPr>
          <w:p>
            <w:pPr>
              <w:spacing w:after="0"/>
              <w:rPr>
                <w:sz w:val="18"/>
                <w:szCs w:val="18"/>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NOTE L - INCOME TAXES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color w:val="auto"/>
                <w:w w:val="95"/>
              </w:rPr>
              <w:t>Income tax expense (benefit), including tax of $0 from discontinued operations, consists of:</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Current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4"/>
              </w:rPr>
              <w:t>Deferred</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09"/>
        </w:trPr>
        <w:tc>
          <w:tcPr>
            <w:tcW w:w="66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40" w:type="dxa"/>
            <w:vAlign w:val="bottom"/>
          </w:tcPr>
          <w:p>
            <w:pPr>
              <w:ind w:left="640"/>
              <w:spacing w:after="0"/>
              <w:rPr>
                <w:sz w:val="20"/>
                <w:szCs w:val="20"/>
                <w:color w:val="auto"/>
              </w:rPr>
            </w:pPr>
            <w:r>
              <w:rPr>
                <w:rFonts w:ascii="Arial" w:cs="Arial" w:eastAsia="Arial" w:hAnsi="Arial"/>
                <w:sz w:val="18"/>
                <w:szCs w:val="18"/>
                <w:b w:val="1"/>
                <w:bCs w:val="1"/>
                <w:color w:val="auto"/>
              </w:rPr>
              <w:t>U.S. federal</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(451,000)</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271,000</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(180,000)</w:t>
            </w:r>
          </w:p>
        </w:tc>
      </w:tr>
      <w:tr>
        <w:trPr>
          <w:trHeight w:val="216"/>
        </w:trPr>
        <w:tc>
          <w:tcPr>
            <w:tcW w:w="660" w:type="dxa"/>
            <w:vAlign w:val="bottom"/>
          </w:tcPr>
          <w:p>
            <w:pPr>
              <w:spacing w:after="0"/>
              <w:rPr>
                <w:sz w:val="18"/>
                <w:szCs w:val="18"/>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U.S. state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301,000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387,000</w:t>
            </w:r>
          </w:p>
        </w:tc>
      </w:tr>
      <w:tr>
        <w:trPr>
          <w:trHeight w:val="216"/>
        </w:trPr>
        <w:tc>
          <w:tcPr>
            <w:tcW w:w="660" w:type="dxa"/>
            <w:vAlign w:val="bottom"/>
          </w:tcPr>
          <w:p>
            <w:pPr>
              <w:spacing w:after="0"/>
              <w:rPr>
                <w:sz w:val="18"/>
                <w:szCs w:val="18"/>
                <w:color w:val="auto"/>
              </w:rPr>
            </w:pPr>
          </w:p>
        </w:tc>
        <w:tc>
          <w:tcPr>
            <w:tcW w:w="6240" w:type="dxa"/>
            <w:vAlign w:val="bottom"/>
          </w:tcPr>
          <w:p>
            <w:pPr>
              <w:ind w:left="640"/>
              <w:spacing w:after="0"/>
              <w:rPr>
                <w:sz w:val="20"/>
                <w:szCs w:val="20"/>
                <w:color w:val="auto"/>
              </w:rPr>
            </w:pPr>
            <w:r>
              <w:rPr>
                <w:rFonts w:ascii="Arial" w:cs="Arial" w:eastAsia="Arial" w:hAnsi="Arial"/>
                <w:sz w:val="18"/>
                <w:szCs w:val="18"/>
                <w:b w:val="1"/>
                <w:bCs w:val="1"/>
                <w:color w:val="auto"/>
              </w:rPr>
              <w:t>Foreign</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1,993,000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(550,000)</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1,443,000</w:t>
            </w:r>
          </w:p>
        </w:tc>
      </w:tr>
      <w:tr>
        <w:trPr>
          <w:trHeight w:val="209"/>
        </w:trPr>
        <w:tc>
          <w:tcPr>
            <w:tcW w:w="660" w:type="dxa"/>
            <w:vAlign w:val="bottom"/>
          </w:tcPr>
          <w:p>
            <w:pPr>
              <w:spacing w:after="0"/>
              <w:rPr>
                <w:sz w:val="18"/>
                <w:szCs w:val="18"/>
                <w:color w:val="auto"/>
              </w:rPr>
            </w:pPr>
          </w:p>
        </w:tc>
        <w:tc>
          <w:tcPr>
            <w:tcW w:w="624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Total income tax expense</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1,628,000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Current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4"/>
              </w:rPr>
              <w:t>Deferred</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66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2019:</w:t>
            </w: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40" w:type="dxa"/>
            <w:vAlign w:val="bottom"/>
          </w:tcPr>
          <w:p>
            <w:pPr>
              <w:ind w:left="640"/>
              <w:spacing w:after="0"/>
              <w:rPr>
                <w:sz w:val="20"/>
                <w:szCs w:val="20"/>
                <w:color w:val="auto"/>
              </w:rPr>
            </w:pPr>
            <w:r>
              <w:rPr>
                <w:rFonts w:ascii="Arial" w:cs="Arial" w:eastAsia="Arial" w:hAnsi="Arial"/>
                <w:sz w:val="18"/>
                <w:szCs w:val="18"/>
                <w:b w:val="1"/>
                <w:bCs w:val="1"/>
                <w:color w:val="auto"/>
              </w:rPr>
              <w:t>U.S. federal</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529,000</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1,339,000</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1,868,000</w:t>
            </w:r>
          </w:p>
        </w:tc>
      </w:tr>
      <w:tr>
        <w:trPr>
          <w:trHeight w:val="216"/>
        </w:trPr>
        <w:tc>
          <w:tcPr>
            <w:tcW w:w="660" w:type="dxa"/>
            <w:vAlign w:val="bottom"/>
          </w:tcPr>
          <w:p>
            <w:pPr>
              <w:spacing w:after="0"/>
              <w:rPr>
                <w:sz w:val="18"/>
                <w:szCs w:val="18"/>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U.S. state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(541,000)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629,000</w:t>
            </w:r>
          </w:p>
        </w:tc>
      </w:tr>
      <w:tr>
        <w:trPr>
          <w:trHeight w:val="230"/>
        </w:trPr>
        <w:tc>
          <w:tcPr>
            <w:tcW w:w="660" w:type="dxa"/>
            <w:vAlign w:val="bottom"/>
          </w:tcPr>
          <w:p>
            <w:pPr>
              <w:spacing w:after="0"/>
              <w:rPr>
                <w:sz w:val="19"/>
                <w:szCs w:val="19"/>
                <w:color w:val="auto"/>
              </w:rPr>
            </w:pPr>
          </w:p>
        </w:tc>
        <w:tc>
          <w:tcPr>
            <w:tcW w:w="6240" w:type="dxa"/>
            <w:vAlign w:val="bottom"/>
          </w:tcPr>
          <w:p>
            <w:pPr>
              <w:ind w:left="640"/>
              <w:spacing w:after="0"/>
              <w:rPr>
                <w:sz w:val="20"/>
                <w:szCs w:val="20"/>
                <w:color w:val="auto"/>
              </w:rPr>
            </w:pPr>
            <w:r>
              <w:rPr>
                <w:rFonts w:ascii="Arial" w:cs="Arial" w:eastAsia="Arial" w:hAnsi="Arial"/>
                <w:sz w:val="18"/>
                <w:szCs w:val="18"/>
                <w:b w:val="1"/>
                <w:bCs w:val="1"/>
                <w:color w:val="auto"/>
              </w:rPr>
              <w:t>Foreign</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1,664,000</w:t>
            </w:r>
          </w:p>
        </w:tc>
        <w:tc>
          <w:tcPr>
            <w:tcW w:w="2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1,667,000</w:t>
            </w:r>
          </w:p>
        </w:tc>
      </w:tr>
      <w:tr>
        <w:trPr>
          <w:trHeight w:val="223"/>
        </w:trPr>
        <w:tc>
          <w:tcPr>
            <w:tcW w:w="660" w:type="dxa"/>
            <w:vAlign w:val="bottom"/>
          </w:tcPr>
          <w:p>
            <w:pPr>
              <w:spacing w:after="0"/>
              <w:rPr>
                <w:sz w:val="19"/>
                <w:szCs w:val="19"/>
                <w:color w:val="auto"/>
              </w:rPr>
            </w:pPr>
          </w:p>
        </w:tc>
        <w:tc>
          <w:tcPr>
            <w:tcW w:w="624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Total income tax expense</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1,702,000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2,462,000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Current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4"/>
              </w:rPr>
              <w:t>Deferred</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66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40" w:type="dxa"/>
            <w:vAlign w:val="bottom"/>
          </w:tcPr>
          <w:p>
            <w:pPr>
              <w:ind w:left="640"/>
              <w:spacing w:after="0"/>
              <w:rPr>
                <w:sz w:val="20"/>
                <w:szCs w:val="20"/>
                <w:color w:val="auto"/>
              </w:rPr>
            </w:pPr>
            <w:r>
              <w:rPr>
                <w:rFonts w:ascii="Arial" w:cs="Arial" w:eastAsia="Arial" w:hAnsi="Arial"/>
                <w:sz w:val="18"/>
                <w:szCs w:val="18"/>
                <w:b w:val="1"/>
                <w:bCs w:val="1"/>
                <w:color w:val="auto"/>
              </w:rPr>
              <w:t>U.S. federal</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2,516,000</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(6,882,000)</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(4,366,000)</w:t>
            </w:r>
          </w:p>
        </w:tc>
      </w:tr>
      <w:tr>
        <w:trPr>
          <w:trHeight w:val="216"/>
        </w:trPr>
        <w:tc>
          <w:tcPr>
            <w:tcW w:w="660" w:type="dxa"/>
            <w:vAlign w:val="bottom"/>
          </w:tcPr>
          <w:p>
            <w:pPr>
              <w:spacing w:after="0"/>
              <w:rPr>
                <w:sz w:val="18"/>
                <w:szCs w:val="18"/>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U.S. state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391,000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(496,000)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(105,000)</w:t>
            </w:r>
          </w:p>
        </w:tc>
      </w:tr>
      <w:tr>
        <w:trPr>
          <w:trHeight w:val="230"/>
        </w:trPr>
        <w:tc>
          <w:tcPr>
            <w:tcW w:w="660" w:type="dxa"/>
            <w:vAlign w:val="bottom"/>
          </w:tcPr>
          <w:p>
            <w:pPr>
              <w:spacing w:after="0"/>
              <w:rPr>
                <w:sz w:val="19"/>
                <w:szCs w:val="19"/>
                <w:color w:val="auto"/>
              </w:rPr>
            </w:pPr>
          </w:p>
        </w:tc>
        <w:tc>
          <w:tcPr>
            <w:tcW w:w="6240" w:type="dxa"/>
            <w:vAlign w:val="bottom"/>
          </w:tcPr>
          <w:p>
            <w:pPr>
              <w:ind w:left="640"/>
              <w:spacing w:after="0"/>
              <w:rPr>
                <w:sz w:val="20"/>
                <w:szCs w:val="20"/>
                <w:color w:val="auto"/>
              </w:rPr>
            </w:pPr>
            <w:r>
              <w:rPr>
                <w:rFonts w:ascii="Arial" w:cs="Arial" w:eastAsia="Arial" w:hAnsi="Arial"/>
                <w:sz w:val="18"/>
                <w:szCs w:val="18"/>
                <w:b w:val="1"/>
                <w:bCs w:val="1"/>
                <w:color w:val="auto"/>
              </w:rPr>
              <w:t>Foreign</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1,682,000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(438,000)</w:t>
            </w:r>
          </w:p>
        </w:tc>
        <w:tc>
          <w:tcPr>
            <w:tcW w:w="2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1,244,000</w:t>
            </w:r>
          </w:p>
        </w:tc>
      </w:tr>
      <w:tr>
        <w:trPr>
          <w:trHeight w:val="223"/>
        </w:trPr>
        <w:tc>
          <w:tcPr>
            <w:tcW w:w="660" w:type="dxa"/>
            <w:vAlign w:val="bottom"/>
          </w:tcPr>
          <w:p>
            <w:pPr>
              <w:spacing w:after="0"/>
              <w:rPr>
                <w:sz w:val="19"/>
                <w:szCs w:val="19"/>
                <w:color w:val="auto"/>
              </w:rPr>
            </w:pPr>
          </w:p>
        </w:tc>
        <w:tc>
          <w:tcPr>
            <w:tcW w:w="624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Total income tax expense (benefit)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4,589,000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(7,816,000</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(3,227,000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Rate Reconciliation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provision for income taxes on pre-tax income differs from the amount computed by applying the U.S. federal statutory income tax rate of 21.0% for the years ended December 31, 2020, 2019 and 2018 due to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Provision for income tax at the federal statutory rate</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2,128,000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4,130,000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4,935,000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State taxes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204,000</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678,000</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(59,000)</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Permanent differences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(748,000)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(4,260,000)</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Foreign taxes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(222,000)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145,000</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valuation allowance</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284,000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(3,922,000)</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(218,000)</w:t>
            </w: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(470,000)</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(66,000)</w:t>
            </w:r>
          </w:p>
        </w:tc>
        <w:tc>
          <w:tcPr>
            <w:tcW w:w="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 (benefit)</w:t>
            </w:r>
          </w:p>
        </w:tc>
        <w:tc>
          <w:tcPr>
            <w:tcW w:w="18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1,650,000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4,164,000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(3,227,000)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auto"/>
        </w:rPr>
        <w:t>Significant Components of Deferred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tax assets and liabilities reflect the net effect of temporary differences between the carrying amounts of assets and liabilities for financial reporting purposes and the amounts used for income tax purposes. The tax effects of temporary differences that give rise to deferred tax assets and deferred tax liabilities as of December 31, 2020 and 2019 are as follows: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7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640"/>
              <w:spacing w:after="0"/>
              <w:rPr>
                <w:sz w:val="20"/>
                <w:szCs w:val="20"/>
                <w:color w:val="auto"/>
              </w:rPr>
            </w:pPr>
            <w:r>
              <w:rPr>
                <w:rFonts w:ascii="Arial" w:cs="Arial" w:eastAsia="Arial" w:hAnsi="Arial"/>
                <w:sz w:val="18"/>
                <w:szCs w:val="18"/>
                <w:b w:val="1"/>
                <w:bCs w:val="1"/>
                <w:color w:val="auto"/>
              </w:rPr>
              <w:t>Net operating losses</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424,000</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432,000</w:t>
            </w:r>
          </w:p>
        </w:tc>
      </w:tr>
      <w:tr>
        <w:trPr>
          <w:trHeight w:val="216"/>
        </w:trPr>
        <w:tc>
          <w:tcPr>
            <w:tcW w:w="77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Foreign tax credit carryforwards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2,005,000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2,555,000</w:t>
            </w:r>
          </w:p>
        </w:tc>
      </w:tr>
      <w:tr>
        <w:trPr>
          <w:trHeight w:val="216"/>
        </w:trPr>
        <w:tc>
          <w:tcPr>
            <w:tcW w:w="7720" w:type="dxa"/>
            <w:vAlign w:val="bottom"/>
          </w:tcPr>
          <w:p>
            <w:pPr>
              <w:ind w:left="640"/>
              <w:spacing w:after="0"/>
              <w:rPr>
                <w:sz w:val="20"/>
                <w:szCs w:val="20"/>
                <w:color w:val="auto"/>
              </w:rPr>
            </w:pPr>
            <w:r>
              <w:rPr>
                <w:rFonts w:ascii="Arial" w:cs="Arial" w:eastAsia="Arial" w:hAnsi="Arial"/>
                <w:sz w:val="18"/>
                <w:szCs w:val="18"/>
                <w:b w:val="1"/>
                <w:bCs w:val="1"/>
                <w:color w:val="auto"/>
              </w:rPr>
              <w:t>Inventory basis differences</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8,655,000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5,333,000</w:t>
            </w:r>
          </w:p>
        </w:tc>
      </w:tr>
      <w:tr>
        <w:trPr>
          <w:trHeight w:val="216"/>
        </w:trPr>
        <w:tc>
          <w:tcPr>
            <w:tcW w:w="77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Deferred rent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76,000</w:t>
            </w:r>
          </w:p>
        </w:tc>
      </w:tr>
      <w:tr>
        <w:trPr>
          <w:trHeight w:val="216"/>
        </w:trPr>
        <w:tc>
          <w:tcPr>
            <w:tcW w:w="7720" w:type="dxa"/>
            <w:vAlign w:val="bottom"/>
          </w:tcPr>
          <w:p>
            <w:pPr>
              <w:ind w:left="640"/>
              <w:spacing w:after="0"/>
              <w:rPr>
                <w:sz w:val="20"/>
                <w:szCs w:val="20"/>
                <w:color w:val="auto"/>
              </w:rPr>
            </w:pPr>
            <w:r>
              <w:rPr>
                <w:rFonts w:ascii="Arial" w:cs="Arial" w:eastAsia="Arial" w:hAnsi="Arial"/>
                <w:sz w:val="18"/>
                <w:szCs w:val="18"/>
                <w:b w:val="1"/>
                <w:bCs w:val="1"/>
                <w:color w:val="auto"/>
              </w:rPr>
              <w:t>Maintenance deposit payments</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605,000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943,000</w:t>
            </w:r>
          </w:p>
        </w:tc>
      </w:tr>
      <w:tr>
        <w:trPr>
          <w:trHeight w:val="216"/>
        </w:trPr>
        <w:tc>
          <w:tcPr>
            <w:tcW w:w="77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Deferred revenue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625,000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1,873,000</w:t>
            </w:r>
          </w:p>
        </w:tc>
      </w:tr>
      <w:tr>
        <w:trPr>
          <w:trHeight w:val="216"/>
        </w:trPr>
        <w:tc>
          <w:tcPr>
            <w:tcW w:w="7720" w:type="dxa"/>
            <w:vAlign w:val="bottom"/>
          </w:tcPr>
          <w:p>
            <w:pPr>
              <w:ind w:left="640"/>
              <w:spacing w:after="0"/>
              <w:rPr>
                <w:sz w:val="20"/>
                <w:szCs w:val="20"/>
                <w:color w:val="auto"/>
              </w:rPr>
            </w:pPr>
            <w:r>
              <w:rPr>
                <w:rFonts w:ascii="Arial" w:cs="Arial" w:eastAsia="Arial" w:hAnsi="Arial"/>
                <w:sz w:val="18"/>
                <w:szCs w:val="18"/>
                <w:b w:val="1"/>
                <w:bCs w:val="1"/>
                <w:color w:val="auto"/>
              </w:rPr>
              <w:t>Allowance for doubtful accounts</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398,000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391,000</w:t>
            </w:r>
          </w:p>
        </w:tc>
      </w:tr>
      <w:tr>
        <w:trPr>
          <w:trHeight w:val="216"/>
        </w:trPr>
        <w:tc>
          <w:tcPr>
            <w:tcW w:w="77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Transaction costs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523,000</w:t>
            </w:r>
          </w:p>
        </w:tc>
      </w:tr>
      <w:tr>
        <w:trPr>
          <w:trHeight w:val="216"/>
        </w:trPr>
        <w:tc>
          <w:tcPr>
            <w:tcW w:w="7720" w:type="dxa"/>
            <w:vAlign w:val="bottom"/>
          </w:tcPr>
          <w:p>
            <w:pPr>
              <w:ind w:left="640"/>
              <w:spacing w:after="0"/>
              <w:rPr>
                <w:sz w:val="20"/>
                <w:szCs w:val="20"/>
                <w:color w:val="auto"/>
              </w:rPr>
            </w:pPr>
            <w:r>
              <w:rPr>
                <w:rFonts w:ascii="Arial" w:cs="Arial" w:eastAsia="Arial" w:hAnsi="Arial"/>
                <w:sz w:val="18"/>
                <w:szCs w:val="18"/>
                <w:b w:val="1"/>
                <w:bCs w:val="1"/>
                <w:color w:val="auto"/>
              </w:rPr>
              <w:t>Start up costs</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973,000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77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Intangible assets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410,000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807,000</w:t>
            </w:r>
          </w:p>
        </w:tc>
      </w:tr>
      <w:tr>
        <w:trPr>
          <w:trHeight w:val="216"/>
        </w:trPr>
        <w:tc>
          <w:tcPr>
            <w:tcW w:w="7720" w:type="dxa"/>
            <w:vAlign w:val="bottom"/>
          </w:tcPr>
          <w:p>
            <w:pPr>
              <w:ind w:left="640"/>
              <w:spacing w:after="0"/>
              <w:rPr>
                <w:sz w:val="20"/>
                <w:szCs w:val="20"/>
                <w:color w:val="auto"/>
              </w:rPr>
            </w:pPr>
            <w:r>
              <w:rPr>
                <w:rFonts w:ascii="Arial" w:cs="Arial" w:eastAsia="Arial" w:hAnsi="Arial"/>
                <w:sz w:val="18"/>
                <w:szCs w:val="18"/>
                <w:b w:val="1"/>
                <w:bCs w:val="1"/>
                <w:color w:val="auto"/>
              </w:rPr>
              <w:t>Accrued expenses</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1,070,000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1,232,000</w:t>
            </w:r>
          </w:p>
        </w:tc>
      </w:tr>
      <w:tr>
        <w:trPr>
          <w:trHeight w:val="216"/>
        </w:trPr>
        <w:tc>
          <w:tcPr>
            <w:tcW w:w="77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112,000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153,000</w:t>
            </w:r>
          </w:p>
        </w:tc>
      </w:tr>
      <w:tr>
        <w:trPr>
          <w:trHeight w:val="210"/>
        </w:trPr>
        <w:tc>
          <w:tcPr>
            <w:tcW w:w="7720" w:type="dxa"/>
            <w:vAlign w:val="bottom"/>
          </w:tcPr>
          <w:p>
            <w:pPr>
              <w:ind w:left="1300"/>
              <w:spacing w:after="0"/>
              <w:rPr>
                <w:sz w:val="20"/>
                <w:szCs w:val="20"/>
                <w:color w:val="auto"/>
              </w:rPr>
            </w:pPr>
            <w:r>
              <w:rPr>
                <w:rFonts w:ascii="Arial" w:cs="Arial" w:eastAsia="Arial" w:hAnsi="Arial"/>
                <w:sz w:val="18"/>
                <w:szCs w:val="18"/>
                <w:b w:val="1"/>
                <w:bCs w:val="1"/>
                <w:color w:val="auto"/>
              </w:rPr>
              <w:t>Total deferred tax assets</w:t>
            </w: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15,360,000</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14,318,000</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640"/>
              <w:spacing w:after="0"/>
              <w:rPr>
                <w:sz w:val="20"/>
                <w:szCs w:val="20"/>
                <w:color w:val="auto"/>
              </w:rPr>
            </w:pPr>
            <w:r>
              <w:rPr>
                <w:rFonts w:ascii="Arial" w:cs="Arial" w:eastAsia="Arial" w:hAnsi="Arial"/>
                <w:sz w:val="18"/>
                <w:szCs w:val="18"/>
                <w:b w:val="1"/>
                <w:bCs w:val="1"/>
                <w:color w:val="auto"/>
              </w:rPr>
              <w:t>Fixed assets</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(6,981,000)</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(8,320,000)</w:t>
            </w:r>
          </w:p>
        </w:tc>
      </w:tr>
      <w:tr>
        <w:trPr>
          <w:trHeight w:val="216"/>
        </w:trPr>
        <w:tc>
          <w:tcPr>
            <w:tcW w:w="77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Section 481(a) adjustments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(1,784,000)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(633,000)</w:t>
            </w:r>
          </w:p>
        </w:tc>
      </w:tr>
      <w:tr>
        <w:trPr>
          <w:trHeight w:val="216"/>
        </w:trPr>
        <w:tc>
          <w:tcPr>
            <w:tcW w:w="7720" w:type="dxa"/>
            <w:vAlign w:val="bottom"/>
          </w:tcPr>
          <w:p>
            <w:pPr>
              <w:ind w:left="640"/>
              <w:spacing w:after="0"/>
              <w:rPr>
                <w:sz w:val="20"/>
                <w:szCs w:val="20"/>
                <w:color w:val="auto"/>
              </w:rPr>
            </w:pPr>
            <w:r>
              <w:rPr>
                <w:rFonts w:ascii="Arial" w:cs="Arial" w:eastAsia="Arial" w:hAnsi="Arial"/>
                <w:sz w:val="18"/>
                <w:szCs w:val="18"/>
                <w:b w:val="1"/>
                <w:bCs w:val="1"/>
                <w:color w:val="auto"/>
              </w:rPr>
              <w:t>Deferred insurance proceeds</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(603,000)</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(611,000)</w:t>
            </w:r>
          </w:p>
        </w:tc>
      </w:tr>
      <w:tr>
        <w:trPr>
          <w:trHeight w:val="210"/>
        </w:trPr>
        <w:tc>
          <w:tcPr>
            <w:tcW w:w="7720" w:type="dxa"/>
            <w:vAlign w:val="bottom"/>
            <w:tcBorders>
              <w:top w:val="single" w:sz="8" w:color="CCEEFF"/>
            </w:tcBorders>
            <w:shd w:val="clear" w:color="auto" w:fill="CCEEFF"/>
          </w:tcPr>
          <w:p>
            <w:pPr>
              <w:ind w:left="1300"/>
              <w:spacing w:after="0"/>
              <w:rPr>
                <w:sz w:val="20"/>
                <w:szCs w:val="20"/>
                <w:color w:val="auto"/>
              </w:rPr>
            </w:pPr>
            <w:r>
              <w:rPr>
                <w:rFonts w:ascii="Arial" w:cs="Arial" w:eastAsia="Arial" w:hAnsi="Arial"/>
                <w:sz w:val="18"/>
                <w:szCs w:val="18"/>
                <w:b w:val="1"/>
                <w:bCs w:val="1"/>
                <w:color w:val="auto"/>
              </w:rPr>
              <w:t>Total deferred tax liabilities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(9,368,000)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(9,564,000)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720" w:type="dxa"/>
            <w:vAlign w:val="bottom"/>
            <w:tcBorders>
              <w:bottom w:val="single" w:sz="8" w:color="CCEEFF"/>
            </w:tcBorders>
          </w:tcPr>
          <w:p>
            <w:pPr>
              <w:ind w:left="1300"/>
              <w:spacing w:after="0"/>
              <w:rPr>
                <w:sz w:val="20"/>
                <w:szCs w:val="20"/>
                <w:color w:val="auto"/>
              </w:rPr>
            </w:pPr>
            <w:r>
              <w:rPr>
                <w:rFonts w:ascii="Arial" w:cs="Arial" w:eastAsia="Arial" w:hAnsi="Arial"/>
                <w:sz w:val="18"/>
                <w:szCs w:val="18"/>
                <w:b w:val="1"/>
                <w:bCs w:val="1"/>
                <w:color w:val="auto"/>
              </w:rPr>
              <w:t>Valuation Allowances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(284,000)</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772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b w:val="1"/>
                <w:bCs w:val="1"/>
                <w:color w:val="auto"/>
              </w:rPr>
              <w:t>Deferred income taxes, net</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5,708,000</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4,754,000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deferred tax assets are adjusted by a valuation allowance if, based on the weight of available evidence, it is more likely than not that a portion or all the deferred assets will not be realized. The Company has evaluated the positive and negative evidence bearing upon its ability to realize the deferred tax assets. After considering all of the evidence, both positive and negative, it was determined that it is more likely than not, that the benefit from certain state NOL carryforwards will not be realized. Accordingly, the Company has recorded a valuation allowance of $0.3 million on the deferred tax assets related to these state NOL carryforwards as of December 31, 2020.</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December 31, 2020 and December 31, 2019, the Company had net operating losses available for carry-forward for Federal income tax purposes of approximately $0.5 million and $0.6 million, respectively. These net operating loss carryforwards will expire on various dates through 2034. Utilization of the net operating loss carryforwards as of December 31, 2020 are subject to annual limitation under Sec. 382 of the Internal Revenue Code. A deferred tax asset has been recorded only for those carryforwards that the Company expects to utilize prior to expiration.</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648"/>
        <w:spacing w:after="0" w:line="259" w:lineRule="auto"/>
        <w:rPr>
          <w:sz w:val="20"/>
          <w:szCs w:val="20"/>
          <w:color w:val="auto"/>
        </w:rPr>
      </w:pPr>
      <w:r>
        <w:rPr>
          <w:rFonts w:ascii="Arial" w:cs="Arial" w:eastAsia="Arial" w:hAnsi="Arial"/>
          <w:sz w:val="18"/>
          <w:szCs w:val="18"/>
          <w:color w:val="auto"/>
        </w:rPr>
        <w:t>The Company and its subsidiaries file income tax returns in the U.S. federal jurisdiction, various state jurisdictions, and in Ireland. Tax years beginning in 2017 through 2020 are open for examination by the U.S. Internal Revenue Service and tax years beginning in 2016 through 2020 are open for examination by various state taxing jurisdictions in which the Company is subject to tax. Tax years beginning in 2016 through 2020 are open for examination by the Irish taxing authorities.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ASC 740, Income Taxes, provides that a tax benefit from an uncertain tax position may be recognized when it is more likely than not that the position will be sustained upon examination, including resolutions of any related appeals or litigation processes, based on the technical merits. ASC 740 also provides guidance on measurement, derecognition, classification, interest and penalties, accounting in interim periods, and disclosure and transition. As of December 31, 2020 and 2019, there was no reserve for uncertain tax positions.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EARNINGS PER SHARE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computation of basic and diluted earnings per share (“EPS”) is based on the weighted average number of common shares outstanding during each period. The computation of basic and diluted earnings per share are impacted by dividends for preferred stockholders.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computation for basic earnings per share for the years ended December 31:</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8,482,513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15,499,138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26,725,449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b w:val="1"/>
                <w:bCs w:val="1"/>
                <w:color w:val="auto"/>
              </w:rPr>
              <w:t>Income from discontinued operations</w:t>
            </w:r>
          </w:p>
        </w:tc>
        <w:tc>
          <w:tcPr>
            <w:tcW w:w="2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21,260,340</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8,482,513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15,499,138</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47,985,789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Income attributable to noncontrolling interest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39,132,578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attributable to AerSale Corporation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8,482,513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15,499,138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8,853,211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b w:val="1"/>
                <w:bCs w:val="1"/>
                <w:color w:val="auto"/>
              </w:rPr>
              <w:t>Dividends attributable to preferred stockholders</w:t>
            </w:r>
          </w:p>
        </w:tc>
        <w:tc>
          <w:tcPr>
            <w:tcW w:w="2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(34,632,836)</w:t>
            </w: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(33,577,536)</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(loss) attributable to common shareholders for EPS</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8,482,513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(19,133,698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(24,724,325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shares outstanding - basic</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1,048,196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37,010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37,010</w:t>
            </w:r>
          </w:p>
        </w:tc>
        <w:tc>
          <w:tcPr>
            <w:tcW w:w="0" w:type="dxa"/>
            <w:vAlign w:val="bottom"/>
          </w:tcPr>
          <w:p>
            <w:pPr>
              <w:spacing w:after="0"/>
              <w:rPr>
                <w:sz w:val="1"/>
                <w:szCs w:val="1"/>
                <w:color w:val="auto"/>
              </w:rPr>
            </w:pPr>
          </w:p>
        </w:tc>
      </w:tr>
      <w:tr>
        <w:trPr>
          <w:trHeight w:val="198"/>
        </w:trPr>
        <w:tc>
          <w:tcPr>
            <w:tcW w:w="624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Additional shares from assumed exercise of warrants and contingently issuable</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2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67,167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shares outstanding - diluted</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1,115,363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37,010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per share - basic</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Income (loss) per share from continuing operations</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8.09</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(516.98)</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(185.14)</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Loss per share from discontinued operations and noncontrolling interest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(482.90)</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Income (loss) per share</w:t>
            </w: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8.09</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(516.98)</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(668.04)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Income (loss) per share - diluted</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per share from continuing operations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(516.98)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(185.14)</w:t>
            </w:r>
          </w:p>
        </w:tc>
        <w:tc>
          <w:tcPr>
            <w:tcW w:w="0" w:type="dxa"/>
            <w:vAlign w:val="bottom"/>
          </w:tcPr>
          <w:p>
            <w:pPr>
              <w:spacing w:after="0"/>
              <w:rPr>
                <w:sz w:val="1"/>
                <w:szCs w:val="1"/>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b w:val="1"/>
                <w:bCs w:val="1"/>
                <w:color w:val="auto"/>
                <w:w w:val="99"/>
              </w:rPr>
              <w:t>Loss per share from discontinued operations and noncontrolling interest</w:t>
            </w:r>
          </w:p>
        </w:tc>
        <w:tc>
          <w:tcPr>
            <w:tcW w:w="2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(482.90)</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(loss) per share</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(516.98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(668.04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STOCKHOLDERS’ EQUITY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Consolidated Statements of Stockholders’ Equity reflect the Reverse Recapitalization as defined in Note A as of December 22, 2020. As AerSale Aviation was deemed the accounting acquirer in the Reverse Recapitalization with Monocle, all periods prior to the consummation date reflect the balances and activity of AerSale Aviation. The share activity (preferred stock and common stock) and per share amounts in the Consolidated Statements of Stockholders’ Equity and the Consolidated Balance Sheets as of December 31, 2019 and 2018, from the previously reported audited consolidated financial statements of AerSale Aviation, were retroactively adjusted using the recapitalization exchange ratio of 74.0%.</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auto"/>
        </w:rPr>
        <w:t>8.65% Cumulative Preferred Shares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preferred stock was issued at a purchase price of $1,000 per share and ranks senior to common stock. The preferred stock has an initial liquidation preference equal to its $1,000 per share purchase price, and accrues dividends at an annual rate of 8.65%. In the event of any voluntary or involuntary liquidation, dissolution, or winding-up of the Company, the holders of the preferred stock will be entitled to receive, out of assets available for distribution to our stockholders and before any distribution of assets to our common stockholders, an amount equal to the then-current liquidation preference, which includes accrued and unpaid dividends. For the years ended December 31, 2019 and 2018, accrued dividends were $ 34,633,000 and $33,578,000, respectively.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Effective July 31, 2020 and October 31, 2019, all holders of the issued and outstanding 8.65% cumulative preferred shares agreed to waive $73,175,000 and $150,248,000 of liquidation preference, respectively. Through December 31, 2019 and 2018, cumulative, the aggregate liquidation preference was $293,775,000 and $409,390,000,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consummation of the Merger, the liquidation preference of the preferred stock was triggered. All outstanding principal of $200,000,000 and cumulative unpaid dividends of $21,161,000 were settled in cash of $13,051,000 with the remaining balance converted to the Company’s common stock at $10.00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the Merger, holders of AerSale Aviation’s common stock were entitled to one vote per share, and to receive dividends and, upon liquidation or dissolution, were entitled to receive all assets available for distribution to stockholders. The holders had no preemptive or other subscription rights and there were no redemption or sinking fund provisions with respect to such shares. Common stock was subordinated to the preferred stock with respect to dividend rights and rights upon liquidation, winding up, and dissolution of the Company.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consummation of the Merger, holders of AerSale Aviation’s common stock received shares of the Company’s common stock at $10.00 per share as merger consideration. The Company’s common stock consist of $0.0001 par value, 200,000,000 shares authorized, of which 41,046,216 shares were issued and outstanding as of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Appreciation Rights (“SARs”)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the Merger, AerSale Aviation granted stock appreciation rights to certain of its executives. These awards entitled the holders to compensation in the Company’s stock from the date of grant to when the award is exercised. The awards were only exercisable upon a change in control and subject to the holder’s continuing employment.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22, 2020, the exercise feature was triggered, and the awards were exercised. The Company’s accounting policy is to reflect compensation expense when a change in control is deemed probable based on the grant date fair value of the award. As of the date of the Merger, the holder of in-the-money SARs were issued shares of the Company’s common stock valued at $1,042,000 and cash, recognizing executive compensation in the amount of $1,379,000.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Earn-Out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consummation of the Merger, the pre-closing holders of AerSale Aviation’s common stock and the holders of in-the-money SARs received a contingent right to receive up to 3,000,000 additional shares of the Company’s common stock. Additionally, certain pre-closing holders of AerSale Aviation’s common stock received a contingent right to receive 746,876 shares of the Company’s common stock, in the aggregate (the ‘‘Earn-out Shares’’), subject to the following:</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left="660" w:firstLine="648"/>
        <w:spacing w:after="0" w:line="263" w:lineRule="auto"/>
        <w:rPr>
          <w:sz w:val="20"/>
          <w:szCs w:val="20"/>
          <w:color w:val="auto"/>
        </w:rPr>
      </w:pPr>
      <w:r>
        <w:rPr>
          <w:rFonts w:ascii="Arial" w:cs="Arial" w:eastAsia="Arial" w:hAnsi="Arial"/>
          <w:sz w:val="18"/>
          <w:szCs w:val="18"/>
          <w:color w:val="auto"/>
        </w:rPr>
        <w:t>Prior to the fifth anniversary of the Merger, if the closing price per share of the Company’s common stock is greater than $13.50 for any period of 20 trading days out of 30 consecutive trading days, the holders will be entitled to receive 50% of the Earn-out Shares in the aggregate (“Minimum Target Earn-out Shares”); and</w:t>
      </w:r>
    </w:p>
    <w:p>
      <w:pPr>
        <w:spacing w:after="0" w:line="18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Prior to the fifth anniversary of the Merger, if the closing price per share of the Company’s common stock is greater than $15.00 for any period of 20 trading days out of 30 consecutive trading days, the holders will be entitled to receive all of the remaining Earn-out Shares not yet issued in the aggregate.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if a liquidity event; generally consisting of a merger, reorganization or consolidation that results in any person or group owning more than 50% of the voting power of the Company, the sale of all or substantially all of Company’s assets or a stockholder approved plan of complete liquidation or dissolution (“Liquidity Event”), is consummated prior to the fifth anniversary of the Merger, all Earn-out Shares that have not yet been issued shall be issued, subject to the following:</w:t>
      </w:r>
    </w:p>
    <w:p>
      <w:pPr>
        <w:spacing w:after="0" w:line="187"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If the Liquidity Event consideration is greater than $13.50 per share, all of the Minimum Target Earn-out Shares will be deemed issued and outstanding; and</w:t>
      </w:r>
    </w:p>
    <w:p>
      <w:pPr>
        <w:spacing w:after="0" w:line="170"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If the Liquidity Event consideration is greater than $15.00 per share, all of the remaining Earn-out Shares not yet issued will be deemed issued and outstanding.</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Subsequent to December 31, 2020 the contingency event related to the Minimum Target Earn-out Shares was met and 1,855,634 shares were subsequently issued.</w:t>
      </w:r>
    </w:p>
    <w:p>
      <w:pPr>
        <w:spacing w:after="0" w:line="170"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We determined the Earn-out Shares to be classified as equity under ASC Topic 815, “Accounting for Derivative Financial Instruments Indexed to, and Potentially Settled in a Company’s Own Stock” as the contingent right is indexed to the Company’s stock and accordingly, the accrual of the Earn-Out shares as of December 31, 2020 had no impact on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Unvested Founder Shares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Upon the Merger, certain pre-closing holders of AerSale Corporation’s common stock agreed to defer the vesting of an aggregate of 700,000 shares (the “Unvested Founder Shares”), half of which will vest at such time as the Minimum Target (as defined in the Merger Agreement) and the other half of which will vest at the Maximum Target (as defined in the Merger Agreement). The Unvested Founder Shares will also vest upon the occurrence of a Liquidity Event on or prior to the fifth anniversary of the date of the Amended and Restated Founder Shares Agreement, solely to the extent the Liquidity Event Consideration (as defined in the Merger Agreement) is greater than $13.50, in which case half of the Unvested Founder Shares which will vest, or $15.00, in which case the other half of the Unvested Founder Shares will also vest. Pursuant to the Amended and Restated Founder Shares Agreement, the holders of the Unvested Founder Shares have retained the right to vote such Unvested Founder Shares prior to vesting. Unvested Founder Shares that have not vested on or prior to the fifth anniversary of the Closing Date will be forfeited.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Subsequent to December 31, 2020 the contingency event related to the Minimum Target was met and half of the Unvested Founder Shares vested.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Company’s warrants entitles the registered holder to purchase one share of the Company’s common stock at a price of $11.50 per share. The warrants will expire at 5:00 p.m., New York City time, on the fifth anniversary of the completion of the Merger, or earlier upon redemption or liquidation. Warrants to purchase a total of 18,000,000 shares of the Company’s common stock were outstanding as of December 31, 2020 and they are exercisable immediately.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 O - BUSINESS SEGMENTS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Consistent with how our chief operating decision maker (Chairman and Chief Executive Officer) evaluates performance and utilizes gross profit as a profitability measure, we report our activities in two business segments:</w:t>
      </w:r>
    </w:p>
    <w:p>
      <w:pPr>
        <w:spacing w:after="0" w:line="170"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Asset Management Solutions - comprised of activities to extract value from strategic asset acquisitions through leasing, trading, or disassembling for product sales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Tech Ops - comprised of MRO activities; and product sales of internally developed engineered solutions and other serviceable products.</w:t>
      </w:r>
    </w:p>
    <w:p>
      <w:pPr>
        <w:spacing w:after="0" w:line="23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Asset Management Solutions segment provides short-term and long-term leasing solutions of aircraft and jet engines to passenger and cargo operators worldwide. Assets considered to be at or near the end of their useful lives, supplied by our leasing portfolio or acquisitions, are analyzed for return maximization to assess whether they will be traded as whole assets or disassembled and sold as individual spare parts and components.</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Tech 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revenues consist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we engage in research and development activities. Periodically, our Tech Ops division will engage in the repair and sale of used serviceable materials through their ability to overhaul existing inventory.</w:t>
      </w:r>
    </w:p>
    <w:p>
      <w:pPr>
        <w:spacing w:after="0" w:line="19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accounting policies for the segments are the same as those described in Note B. Gross Profit is calculated by subtracting cost of sales from sales. The assets and certain expenses related to corporate activities are not allocated to the segments. Our reportable segments are aligned principally around the differences in products and services. The segment reporting excludes the allocation of selling, general and administrative expenses, interest expense and income tax expense.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5"/>
              </w:rPr>
              <w:t>Selected financial information for each segment is as follows: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6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40" w:type="dxa"/>
            <w:vAlign w:val="bottom"/>
          </w:tcPr>
          <w:p>
            <w:pPr>
              <w:ind w:left="640"/>
              <w:spacing w:after="0"/>
              <w:rPr>
                <w:sz w:val="20"/>
                <w:szCs w:val="20"/>
                <w:color w:val="auto"/>
              </w:rPr>
            </w:pPr>
            <w:r>
              <w:rPr>
                <w:rFonts w:ascii="Arial" w:cs="Arial" w:eastAsia="Arial" w:hAnsi="Arial"/>
                <w:sz w:val="18"/>
                <w:szCs w:val="18"/>
                <w:b w:val="1"/>
                <w:bCs w:val="1"/>
                <w:color w:val="auto"/>
              </w:rPr>
              <w:t>Asset Management Solutions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4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Aircraft</w:t>
            </w:r>
          </w:p>
        </w:tc>
        <w:tc>
          <w:tcPr>
            <w:tcW w:w="18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53,639,000</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98,736,000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95,353,000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40" w:type="dxa"/>
            <w:vAlign w:val="bottom"/>
          </w:tcPr>
          <w:p>
            <w:pPr>
              <w:ind w:left="1300"/>
              <w:spacing w:after="0"/>
              <w:rPr>
                <w:sz w:val="20"/>
                <w:szCs w:val="20"/>
                <w:color w:val="auto"/>
              </w:rPr>
            </w:pPr>
            <w:r>
              <w:rPr>
                <w:rFonts w:ascii="Arial" w:cs="Arial" w:eastAsia="Arial" w:hAnsi="Arial"/>
                <w:sz w:val="18"/>
                <w:szCs w:val="18"/>
                <w:b w:val="1"/>
                <w:bCs w:val="1"/>
                <w:color w:val="auto"/>
              </w:rPr>
              <w:t>Engine</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45,072,000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123,088,000</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149,819,000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98,711,000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221,824,000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245,172,000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40" w:type="dxa"/>
            <w:vAlign w:val="bottom"/>
          </w:tcPr>
          <w:p>
            <w:pPr>
              <w:ind w:left="640"/>
              <w:spacing w:after="0"/>
              <w:rPr>
                <w:sz w:val="20"/>
                <w:szCs w:val="20"/>
                <w:color w:val="auto"/>
              </w:rPr>
            </w:pPr>
            <w:r>
              <w:rPr>
                <w:rFonts w:ascii="Arial" w:cs="Arial" w:eastAsia="Arial" w:hAnsi="Arial"/>
                <w:sz w:val="18"/>
                <w:szCs w:val="18"/>
                <w:b w:val="1"/>
                <w:bCs w:val="1"/>
                <w:color w:val="auto"/>
              </w:rPr>
              <w:t>Tech Ops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4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MRO Services</w:t>
            </w:r>
          </w:p>
        </w:tc>
        <w:tc>
          <w:tcPr>
            <w:tcW w:w="18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103,899,000</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69,389,000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38,779,000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40" w:type="dxa"/>
            <w:vAlign w:val="bottom"/>
          </w:tcPr>
          <w:p>
            <w:pPr>
              <w:ind w:left="1300"/>
              <w:spacing w:after="0"/>
              <w:rPr>
                <w:sz w:val="20"/>
                <w:szCs w:val="20"/>
                <w:color w:val="auto"/>
              </w:rPr>
            </w:pPr>
            <w:r>
              <w:rPr>
                <w:rFonts w:ascii="Arial" w:cs="Arial" w:eastAsia="Arial" w:hAnsi="Arial"/>
                <w:sz w:val="18"/>
                <w:szCs w:val="18"/>
                <w:b w:val="1"/>
                <w:bCs w:val="1"/>
                <w:color w:val="auto"/>
              </w:rPr>
              <w:t>Product Sales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6,328,000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12,988,000</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6,781,000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110,227,000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82,377,000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45,560,000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208,938,000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304,201,000</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290,732,000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 w:type="dxa"/>
            <w:vAlign w:val="bottom"/>
          </w:tcPr>
          <w:p>
            <w:pPr>
              <w:spacing w:after="0"/>
              <w:rPr>
                <w:sz w:val="24"/>
                <w:szCs w:val="24"/>
                <w:color w:val="auto"/>
              </w:rPr>
            </w:pPr>
          </w:p>
        </w:tc>
        <w:tc>
          <w:tcPr>
            <w:tcW w:w="464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40" w:type="dxa"/>
            <w:vAlign w:val="bottom"/>
          </w:tcPr>
          <w:p>
            <w:pPr>
              <w:ind w:left="640"/>
              <w:spacing w:after="0"/>
              <w:rPr>
                <w:sz w:val="20"/>
                <w:szCs w:val="20"/>
                <w:color w:val="auto"/>
              </w:rPr>
            </w:pPr>
            <w:r>
              <w:rPr>
                <w:rFonts w:ascii="Arial" w:cs="Arial" w:eastAsia="Arial" w:hAnsi="Arial"/>
                <w:sz w:val="18"/>
                <w:szCs w:val="18"/>
                <w:b w:val="1"/>
                <w:bCs w:val="1"/>
                <w:color w:val="auto"/>
              </w:rPr>
              <w:t>Asset Management Solutions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4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Aircraft</w:t>
            </w:r>
          </w:p>
        </w:tc>
        <w:tc>
          <w:tcPr>
            <w:tcW w:w="18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11,914,000</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27,592,000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21,708,000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40" w:type="dxa"/>
            <w:vAlign w:val="bottom"/>
          </w:tcPr>
          <w:p>
            <w:pPr>
              <w:ind w:left="1300"/>
              <w:spacing w:after="0"/>
              <w:rPr>
                <w:sz w:val="20"/>
                <w:szCs w:val="20"/>
                <w:color w:val="auto"/>
              </w:rPr>
            </w:pPr>
            <w:r>
              <w:rPr>
                <w:rFonts w:ascii="Arial" w:cs="Arial" w:eastAsia="Arial" w:hAnsi="Arial"/>
                <w:sz w:val="18"/>
                <w:szCs w:val="18"/>
                <w:b w:val="1"/>
                <w:bCs w:val="1"/>
                <w:color w:val="auto"/>
              </w:rPr>
              <w:t>Engine</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17,383,000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40,113,000</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41,949,000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29,297,000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67,705,000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63,657,000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40" w:type="dxa"/>
            <w:vAlign w:val="bottom"/>
          </w:tcPr>
          <w:p>
            <w:pPr>
              <w:ind w:left="640"/>
              <w:spacing w:after="0"/>
              <w:rPr>
                <w:sz w:val="20"/>
                <w:szCs w:val="20"/>
                <w:color w:val="auto"/>
              </w:rPr>
            </w:pPr>
            <w:r>
              <w:rPr>
                <w:rFonts w:ascii="Arial" w:cs="Arial" w:eastAsia="Arial" w:hAnsi="Arial"/>
                <w:sz w:val="18"/>
                <w:szCs w:val="18"/>
                <w:b w:val="1"/>
                <w:bCs w:val="1"/>
                <w:color w:val="auto"/>
              </w:rPr>
              <w:t>Tech Ops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4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MRO Services</w:t>
            </w:r>
          </w:p>
        </w:tc>
        <w:tc>
          <w:tcPr>
            <w:tcW w:w="18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21,883,000</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11,125,000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40" w:type="dxa"/>
            <w:vAlign w:val="bottom"/>
          </w:tcPr>
          <w:p>
            <w:pPr>
              <w:ind w:left="1300"/>
              <w:spacing w:after="0"/>
              <w:rPr>
                <w:sz w:val="20"/>
                <w:szCs w:val="20"/>
                <w:color w:val="auto"/>
              </w:rPr>
            </w:pPr>
            <w:r>
              <w:rPr>
                <w:rFonts w:ascii="Arial" w:cs="Arial" w:eastAsia="Arial" w:hAnsi="Arial"/>
                <w:sz w:val="18"/>
                <w:szCs w:val="18"/>
                <w:b w:val="1"/>
                <w:bCs w:val="1"/>
                <w:color w:val="auto"/>
              </w:rPr>
              <w:t>Product Sales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1,609,000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6,219,000</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1,694,000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23,492,000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17,344,000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8,512,000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52,789,000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85,049,000</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72,169,000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0" w:type="dxa"/>
            <w:vAlign w:val="bottom"/>
            <w:vMerge w:val="restart"/>
          </w:tcPr>
          <w:p>
            <w:pPr>
              <w:jc w:val="right"/>
              <w:ind w:right="111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71" w:name="page72"/>
    <w:bookmarkEnd w:id="71"/>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640"/>
              <w:spacing w:after="0"/>
              <w:rPr>
                <w:sz w:val="20"/>
                <w:szCs w:val="20"/>
                <w:color w:val="auto"/>
              </w:rPr>
            </w:pPr>
            <w:r>
              <w:rPr>
                <w:rFonts w:ascii="Arial" w:cs="Arial" w:eastAsia="Arial" w:hAnsi="Arial"/>
                <w:sz w:val="18"/>
                <w:szCs w:val="18"/>
                <w:b w:val="1"/>
                <w:bCs w:val="1"/>
                <w:color w:val="auto"/>
              </w:rPr>
              <w:t>Asset Management Solutions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277,016,000</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254,324,000</w:t>
            </w:r>
          </w:p>
        </w:tc>
      </w:tr>
      <w:tr>
        <w:trPr>
          <w:trHeight w:val="216"/>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Tech Ops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108,622,000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88,129,000</w:t>
            </w:r>
          </w:p>
        </w:tc>
      </w:tr>
      <w:tr>
        <w:trPr>
          <w:trHeight w:val="216"/>
        </w:trPr>
        <w:tc>
          <w:tcPr>
            <w:tcW w:w="6240" w:type="dxa"/>
            <w:vAlign w:val="bottom"/>
          </w:tcPr>
          <w:p>
            <w:pPr>
              <w:ind w:left="640"/>
              <w:spacing w:after="0"/>
              <w:rPr>
                <w:sz w:val="20"/>
                <w:szCs w:val="20"/>
                <w:color w:val="auto"/>
              </w:rPr>
            </w:pPr>
            <w:r>
              <w:rPr>
                <w:rFonts w:ascii="Arial" w:cs="Arial" w:eastAsia="Arial" w:hAnsi="Arial"/>
                <w:sz w:val="18"/>
                <w:szCs w:val="18"/>
                <w:b w:val="1"/>
                <w:bCs w:val="1"/>
                <w:color w:val="auto"/>
              </w:rPr>
              <w:t>Corporate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3,492,000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1,531,000</w:t>
            </w:r>
          </w:p>
        </w:tc>
      </w:tr>
      <w:tr>
        <w:trPr>
          <w:trHeight w:val="209"/>
        </w:trPr>
        <w:tc>
          <w:tcPr>
            <w:tcW w:w="6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389,130,000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343,984,000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446"/>
        </w:trPr>
        <w:tc>
          <w:tcPr>
            <w:tcW w:w="62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4"/>
                <w:szCs w:val="24"/>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Depreciation and Amortization Expense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640"/>
              <w:spacing w:after="0"/>
              <w:rPr>
                <w:sz w:val="20"/>
                <w:szCs w:val="20"/>
                <w:color w:val="auto"/>
              </w:rPr>
            </w:pPr>
            <w:r>
              <w:rPr>
                <w:rFonts w:ascii="Arial" w:cs="Arial" w:eastAsia="Arial" w:hAnsi="Arial"/>
                <w:sz w:val="18"/>
                <w:szCs w:val="18"/>
                <w:b w:val="1"/>
                <w:bCs w:val="1"/>
                <w:color w:val="auto"/>
              </w:rPr>
              <w:t>Asset Management Solutions</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21,210,000</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28,579,000</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27,611,000</w:t>
            </w:r>
          </w:p>
        </w:tc>
      </w:tr>
      <w:tr>
        <w:trPr>
          <w:trHeight w:val="216"/>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Tech Ops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2,600,000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1,301,000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865,000</w:t>
            </w:r>
          </w:p>
        </w:tc>
      </w:tr>
      <w:tr>
        <w:trPr>
          <w:trHeight w:val="229"/>
        </w:trPr>
        <w:tc>
          <w:tcPr>
            <w:tcW w:w="6240" w:type="dxa"/>
            <w:vAlign w:val="bottom"/>
          </w:tcPr>
          <w:p>
            <w:pPr>
              <w:ind w:left="640"/>
              <w:spacing w:after="0"/>
              <w:rPr>
                <w:sz w:val="20"/>
                <w:szCs w:val="20"/>
                <w:color w:val="auto"/>
              </w:rPr>
            </w:pPr>
            <w:r>
              <w:rPr>
                <w:rFonts w:ascii="Arial" w:cs="Arial" w:eastAsia="Arial" w:hAnsi="Arial"/>
                <w:sz w:val="18"/>
                <w:szCs w:val="18"/>
                <w:b w:val="1"/>
                <w:bCs w:val="1"/>
                <w:color w:val="auto"/>
              </w:rPr>
              <w:t>Corporate</w:t>
            </w:r>
          </w:p>
        </w:tc>
        <w:tc>
          <w:tcPr>
            <w:tcW w:w="2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413,000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201,000</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1,350,000</w:t>
            </w:r>
          </w:p>
        </w:tc>
      </w:tr>
      <w:tr>
        <w:trPr>
          <w:trHeight w:val="209"/>
        </w:trPr>
        <w:tc>
          <w:tcPr>
            <w:tcW w:w="6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24,223,000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30,081,000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29,826,000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Total Capital Expenditures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Asset Management Solutions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5,128,000</w:t>
            </w: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36,479,000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7,623,000</w:t>
            </w:r>
          </w:p>
        </w:tc>
      </w:tr>
      <w:tr>
        <w:trPr>
          <w:trHeight w:val="216"/>
        </w:trPr>
        <w:tc>
          <w:tcPr>
            <w:tcW w:w="6240" w:type="dxa"/>
            <w:vAlign w:val="bottom"/>
          </w:tcPr>
          <w:p>
            <w:pPr>
              <w:ind w:left="640"/>
              <w:spacing w:after="0"/>
              <w:rPr>
                <w:sz w:val="20"/>
                <w:szCs w:val="20"/>
                <w:color w:val="auto"/>
              </w:rPr>
            </w:pPr>
            <w:r>
              <w:rPr>
                <w:rFonts w:ascii="Arial" w:cs="Arial" w:eastAsia="Arial" w:hAnsi="Arial"/>
                <w:sz w:val="18"/>
                <w:szCs w:val="18"/>
                <w:b w:val="1"/>
                <w:bCs w:val="1"/>
                <w:color w:val="auto"/>
              </w:rPr>
              <w:t>Tech Ops</w:t>
            </w:r>
          </w:p>
        </w:tc>
        <w:tc>
          <w:tcPr>
            <w:tcW w:w="2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1,965,000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1,500,000</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1,033,000</w:t>
            </w:r>
          </w:p>
        </w:tc>
      </w:tr>
      <w:tr>
        <w:trPr>
          <w:trHeight w:val="229"/>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Corporate</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172,000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149,000</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168,000</w:t>
            </w:r>
          </w:p>
        </w:tc>
      </w:tr>
      <w:tr>
        <w:trPr>
          <w:trHeight w:val="228"/>
        </w:trPr>
        <w:tc>
          <w:tcPr>
            <w:tcW w:w="624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7,265,000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38,128,000</w:t>
            </w: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8,824,000</w:t>
            </w:r>
          </w:p>
        </w:tc>
        <w:tc>
          <w:tcPr>
            <w:tcW w:w="100" w:type="dxa"/>
            <w:vAlign w:val="bottom"/>
          </w:tcPr>
          <w:p>
            <w:pPr>
              <w:spacing w:after="0"/>
              <w:rPr>
                <w:sz w:val="19"/>
                <w:szCs w:val="19"/>
                <w:color w:val="auto"/>
              </w:rPr>
            </w:pPr>
          </w:p>
        </w:tc>
      </w:tr>
    </w:tbl>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gross profit to net income from continuing operations for the years ended December 31:</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gross profit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52,789,000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85,049,000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72,169,000</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800"/>
              <w:spacing w:after="0"/>
              <w:rPr>
                <w:sz w:val="20"/>
                <w:szCs w:val="20"/>
                <w:color w:val="auto"/>
              </w:rPr>
            </w:pPr>
            <w:r>
              <w:rPr>
                <w:rFonts w:ascii="Arial" w:cs="Arial" w:eastAsia="Arial" w:hAnsi="Arial"/>
                <w:sz w:val="18"/>
                <w:szCs w:val="18"/>
                <w:b w:val="1"/>
                <w:bCs w:val="1"/>
                <w:color w:val="auto"/>
              </w:rPr>
              <w:t>Selling, general and administrative expenses</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(55,635,000)</w:t>
            </w: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(59,814,000)</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(46,612,000)</w:t>
            </w:r>
          </w:p>
        </w:tc>
      </w:tr>
      <w:tr>
        <w:trPr>
          <w:trHeight w:val="216"/>
        </w:trPr>
        <w:tc>
          <w:tcPr>
            <w:tcW w:w="624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CARES Act Proceeds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12,693,000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ind w:left="800"/>
              <w:spacing w:after="0"/>
              <w:rPr>
                <w:sz w:val="20"/>
                <w:szCs w:val="20"/>
                <w:color w:val="auto"/>
              </w:rPr>
            </w:pPr>
            <w:r>
              <w:rPr>
                <w:rFonts w:ascii="Arial" w:cs="Arial" w:eastAsia="Arial" w:hAnsi="Arial"/>
                <w:sz w:val="18"/>
                <w:szCs w:val="18"/>
                <w:b w:val="1"/>
                <w:bCs w:val="1"/>
                <w:color w:val="auto"/>
              </w:rPr>
              <w:t>Transaction costs</w:t>
            </w:r>
          </w:p>
        </w:tc>
        <w:tc>
          <w:tcPr>
            <w:tcW w:w="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1,436,000</w:t>
            </w: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(3,176,000)</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(51,000)</w:t>
            </w:r>
          </w:p>
        </w:tc>
      </w:tr>
      <w:tr>
        <w:trPr>
          <w:trHeight w:val="216"/>
        </w:trPr>
        <w:tc>
          <w:tcPr>
            <w:tcW w:w="624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Interest expense, net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(1,645,000)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(3,007,000)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(2,375,000)</w:t>
            </w:r>
          </w:p>
        </w:tc>
      </w:tr>
      <w:tr>
        <w:trPr>
          <w:trHeight w:val="216"/>
        </w:trPr>
        <w:tc>
          <w:tcPr>
            <w:tcW w:w="6240" w:type="dxa"/>
            <w:vAlign w:val="bottom"/>
          </w:tcPr>
          <w:p>
            <w:pPr>
              <w:ind w:left="800"/>
              <w:spacing w:after="0"/>
              <w:rPr>
                <w:sz w:val="20"/>
                <w:szCs w:val="20"/>
                <w:color w:val="auto"/>
              </w:rPr>
            </w:pPr>
            <w:r>
              <w:rPr>
                <w:rFonts w:ascii="Arial" w:cs="Arial" w:eastAsia="Arial" w:hAnsi="Arial"/>
                <w:sz w:val="18"/>
                <w:szCs w:val="18"/>
                <w:b w:val="1"/>
                <w:bCs w:val="1"/>
                <w:color w:val="auto"/>
              </w:rPr>
              <w:t>Other income, net</w:t>
            </w:r>
          </w:p>
        </w:tc>
        <w:tc>
          <w:tcPr>
            <w:tcW w:w="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494,000</w:t>
            </w: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611,000</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367,000</w:t>
            </w:r>
          </w:p>
        </w:tc>
      </w:tr>
      <w:tr>
        <w:trPr>
          <w:trHeight w:val="216"/>
        </w:trPr>
        <w:tc>
          <w:tcPr>
            <w:tcW w:w="624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Income tax benefit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(1,649,000)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(4,164,000)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3,227,000</w:t>
            </w:r>
          </w:p>
        </w:tc>
      </w:tr>
      <w:tr>
        <w:trPr>
          <w:trHeight w:val="228"/>
        </w:trPr>
        <w:tc>
          <w:tcPr>
            <w:tcW w:w="6240" w:type="dxa"/>
            <w:vAlign w:val="bottom"/>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8,483,000</w:t>
            </w: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15,499,000</w:t>
            </w: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26,725,000</w:t>
            </w:r>
          </w:p>
        </w:tc>
        <w:tc>
          <w:tcPr>
            <w:tcW w:w="100" w:type="dxa"/>
            <w:vAlign w:val="bottom"/>
          </w:tcPr>
          <w:p>
            <w:pPr>
              <w:spacing w:after="0"/>
              <w:rPr>
                <w:sz w:val="19"/>
                <w:szCs w:val="19"/>
                <w:color w:val="auto"/>
              </w:rPr>
            </w:pPr>
          </w:p>
        </w:tc>
      </w:tr>
    </w:tbl>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revenues based on the customers’ geographic location and long-lived assets located in the United States, our country of domicile, for the years ended December 31,</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Domestic</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92,837,000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105,083,000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135,892,000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Foreign</w:t>
            </w:r>
          </w:p>
        </w:tc>
        <w:tc>
          <w:tcPr>
            <w:tcW w:w="2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116,101,000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199,118,000</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154,840,000</w:t>
            </w:r>
          </w:p>
        </w:tc>
      </w:tr>
      <w:tr>
        <w:trPr>
          <w:trHeight w:val="209"/>
        </w:trPr>
        <w:tc>
          <w:tcPr>
            <w:tcW w:w="6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208,938,000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304,201,000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290,732,000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Long-lived assets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4"/>
                <w:szCs w:val="24"/>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Domestic</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108,796,000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113,966,000</w:t>
            </w:r>
          </w:p>
        </w:tc>
        <w:tc>
          <w:tcPr>
            <w:tcW w:w="100" w:type="dxa"/>
            <w:vAlign w:val="bottom"/>
            <w:shd w:val="clear" w:color="auto" w:fill="CCEEFF"/>
          </w:tcPr>
          <w:p>
            <w:pPr>
              <w:spacing w:after="0"/>
              <w:rPr>
                <w:sz w:val="18"/>
                <w:szCs w:val="18"/>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Foreign</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34,111,000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39,626,000</w:t>
            </w:r>
          </w:p>
        </w:tc>
      </w:tr>
      <w:tr>
        <w:trPr>
          <w:trHeight w:val="209"/>
        </w:trPr>
        <w:tc>
          <w:tcPr>
            <w:tcW w:w="6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long-lived assets</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142,907,000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153,592,000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the Company had one customer representing 10% or more of total sales. Total sales to that customer amounted to $49,085,000 and was included in the asset management segment. As of December 31, 2018, the Company had one customer representing 10% or more of total sales. Total sales to that customer amounted to $53,687,000 and was included in the asset management segment. No such concentrations existed for the year ended December 31, 2020.</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63" w:lineRule="auto"/>
        <w:rPr>
          <w:sz w:val="20"/>
          <w:szCs w:val="20"/>
          <w:color w:val="auto"/>
        </w:rPr>
      </w:pPr>
      <w:r>
        <w:rPr>
          <w:rFonts w:ascii="Arial" w:cs="Arial" w:eastAsia="Arial" w:hAnsi="Arial"/>
          <w:sz w:val="18"/>
          <w:szCs w:val="18"/>
          <w:color w:val="auto"/>
        </w:rPr>
        <w:t>Intersegment sales includes amounts invoiced by a segment for work performed for another segment. Amounts are based on actual work performed or products sold and agreed-upon pricing which is intended to be reflective of the contribution made by the supplying business segment. All intersegment transactions have been eliminated upon consolidation. Intersegment revenue is as follows: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Management Solutions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3,346,000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233,000</w:t>
            </w:r>
          </w:p>
        </w:tc>
        <w:tc>
          <w:tcPr>
            <w:tcW w:w="100" w:type="dxa"/>
            <w:vAlign w:val="bottom"/>
            <w:shd w:val="clear" w:color="auto" w:fill="CCEEFF"/>
          </w:tcPr>
          <w:p>
            <w:pPr>
              <w:spacing w:after="0"/>
              <w:rPr>
                <w:sz w:val="18"/>
                <w:szCs w:val="18"/>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b w:val="1"/>
                <w:bCs w:val="1"/>
                <w:color w:val="auto"/>
              </w:rPr>
              <w:t>Tech Ops</w:t>
            </w: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1,650,000</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2,015,000</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4,055,000</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intersegment revenues</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4,996,000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2,349,000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4,288,000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Compensation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Certain executive management entered into employment agreements with the Company. The contracts are for a period of three years, and the contracts provide that such management may earn discretionary bonuses, computed upon a sliding percentage scale of their base salaries, based on the overall financial performance of the Company and each individual’s contributions, subject to approval by the board of directors. Additionally, under certain termination conditions, such contracts provide for severance payments under the Company’s Severance Plan, including payment of base salary, bonus, and fringe benefits. The contracts include certain noncompete clauses commencing upon the employee’s separation from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could be involved in litigation incidental to the operation of the business. The Company intends to vigorously defend all matters in which the Company is named defendants, and, for insurable losses, maintain significant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consolidated financial condition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Commitments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leases office space, warehouses, hangars, computers, and equipment in connection with its operations under various operating leases, many of which contain escalation clauses.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non-cancelable operating leases (with initial lease terms in excess of one year) as of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Leases</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5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980"/>
              <w:spacing w:after="0"/>
              <w:rPr>
                <w:sz w:val="20"/>
                <w:szCs w:val="20"/>
                <w:color w:val="auto"/>
              </w:rPr>
            </w:pPr>
            <w:r>
              <w:rPr>
                <w:rFonts w:ascii="Arial" w:cs="Arial" w:eastAsia="Arial" w:hAnsi="Arial"/>
                <w:sz w:val="18"/>
                <w:szCs w:val="18"/>
                <w:b w:val="1"/>
                <w:bCs w:val="1"/>
                <w:color w:val="auto"/>
              </w:rPr>
              <w:t>2021</w:t>
            </w:r>
          </w:p>
        </w:tc>
        <w:tc>
          <w:tcPr>
            <w:tcW w:w="5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4,945,000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2022</w:t>
            </w:r>
          </w:p>
        </w:tc>
        <w:tc>
          <w:tcPr>
            <w:tcW w:w="5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3,591,000</w:t>
            </w:r>
          </w:p>
        </w:tc>
        <w:tc>
          <w:tcPr>
            <w:tcW w:w="0" w:type="dxa"/>
            <w:vAlign w:val="bottom"/>
          </w:tcPr>
          <w:p>
            <w:pPr>
              <w:spacing w:after="0"/>
              <w:rPr>
                <w:sz w:val="1"/>
                <w:szCs w:val="1"/>
                <w:color w:val="auto"/>
              </w:rPr>
            </w:pPr>
          </w:p>
        </w:tc>
      </w:tr>
      <w:tr>
        <w:trPr>
          <w:trHeight w:val="216"/>
        </w:trPr>
        <w:tc>
          <w:tcPr>
            <w:tcW w:w="4440" w:type="dxa"/>
            <w:vAlign w:val="bottom"/>
          </w:tcPr>
          <w:p>
            <w:pPr>
              <w:ind w:left="980"/>
              <w:spacing w:after="0"/>
              <w:rPr>
                <w:sz w:val="20"/>
                <w:szCs w:val="20"/>
                <w:color w:val="auto"/>
              </w:rPr>
            </w:pPr>
            <w:r>
              <w:rPr>
                <w:rFonts w:ascii="Arial" w:cs="Arial" w:eastAsia="Arial" w:hAnsi="Arial"/>
                <w:sz w:val="18"/>
                <w:szCs w:val="18"/>
                <w:b w:val="1"/>
                <w:bCs w:val="1"/>
                <w:color w:val="auto"/>
              </w:rPr>
              <w:t>2023</w:t>
            </w:r>
          </w:p>
        </w:tc>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2,755,000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2024</w:t>
            </w:r>
          </w:p>
        </w:tc>
        <w:tc>
          <w:tcPr>
            <w:tcW w:w="5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2,308,000</w:t>
            </w:r>
          </w:p>
        </w:tc>
        <w:tc>
          <w:tcPr>
            <w:tcW w:w="0" w:type="dxa"/>
            <w:vAlign w:val="bottom"/>
          </w:tcPr>
          <w:p>
            <w:pPr>
              <w:spacing w:after="0"/>
              <w:rPr>
                <w:sz w:val="1"/>
                <w:szCs w:val="1"/>
                <w:color w:val="auto"/>
              </w:rPr>
            </w:pPr>
          </w:p>
        </w:tc>
      </w:tr>
      <w:tr>
        <w:trPr>
          <w:trHeight w:val="216"/>
        </w:trPr>
        <w:tc>
          <w:tcPr>
            <w:tcW w:w="4440" w:type="dxa"/>
            <w:vAlign w:val="bottom"/>
          </w:tcPr>
          <w:p>
            <w:pPr>
              <w:ind w:left="980"/>
              <w:spacing w:after="0"/>
              <w:rPr>
                <w:sz w:val="20"/>
                <w:szCs w:val="20"/>
                <w:color w:val="auto"/>
              </w:rPr>
            </w:pPr>
            <w:r>
              <w:rPr>
                <w:rFonts w:ascii="Arial" w:cs="Arial" w:eastAsia="Arial" w:hAnsi="Arial"/>
                <w:sz w:val="18"/>
                <w:szCs w:val="18"/>
                <w:b w:val="1"/>
                <w:bCs w:val="1"/>
                <w:color w:val="auto"/>
              </w:rPr>
              <w:t>2025</w:t>
            </w:r>
          </w:p>
        </w:tc>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1,811,000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Thereafter</w:t>
            </w:r>
          </w:p>
        </w:tc>
        <w:tc>
          <w:tcPr>
            <w:tcW w:w="5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4,447,000</w:t>
            </w:r>
          </w:p>
        </w:tc>
        <w:tc>
          <w:tcPr>
            <w:tcW w:w="0" w:type="dxa"/>
            <w:vAlign w:val="bottom"/>
          </w:tcPr>
          <w:p>
            <w:pPr>
              <w:spacing w:after="0"/>
              <w:rPr>
                <w:sz w:val="1"/>
                <w:szCs w:val="1"/>
                <w:color w:val="auto"/>
              </w:rPr>
            </w:pPr>
          </w:p>
        </w:tc>
      </w:tr>
      <w:tr>
        <w:trPr>
          <w:trHeight w:val="223"/>
        </w:trPr>
        <w:tc>
          <w:tcPr>
            <w:tcW w:w="4440" w:type="dxa"/>
            <w:vAlign w:val="bottom"/>
          </w:tcPr>
          <w:p>
            <w:pPr>
              <w:ind w:left="980"/>
              <w:spacing w:after="0"/>
              <w:rPr>
                <w:sz w:val="20"/>
                <w:szCs w:val="20"/>
                <w:color w:val="auto"/>
              </w:rPr>
            </w:pPr>
            <w:r>
              <w:rPr>
                <w:rFonts w:ascii="Arial" w:cs="Arial" w:eastAsia="Arial" w:hAnsi="Arial"/>
                <w:sz w:val="18"/>
                <w:szCs w:val="18"/>
                <w:b w:val="1"/>
                <w:bCs w:val="1"/>
                <w:color w:val="auto"/>
              </w:rPr>
              <w:t>Total minimum lease payments</w:t>
            </w:r>
          </w:p>
        </w:tc>
        <w:tc>
          <w:tcPr>
            <w:tcW w:w="5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19,857,000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460" w:type="dxa"/>
            <w:vAlign w:val="bottom"/>
            <w:vMerge w:val="restart"/>
          </w:tcPr>
          <w:p>
            <w:pPr>
              <w:jc w:val="right"/>
              <w:ind w:right="4110"/>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color w:val="auto"/>
        </w:rPr>
        <w:t>Expense charged to operations under the operating lease agreements was as follows:.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Rent expense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6,294,000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5,597,000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4,299,000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Operating lease expense is recognized on a straight-line basis over the term of the lease, including any option periods, as appropriate. The same lease term is used for lease classification, the amortization period of related leasehold improvements, and the estimation of future lease commitments.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RELATED-PARTY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Merger, the Company, in the normal course of its operations, engaged in transactions with certain of its stockholders or their affiliates. On a monthly basis, the Company paid its majority stockholder a fee in exchange for advisory, investment banking, management, consulting, and financial planning services provided on an ongoing basis. Total management fees paid to or accrued for the majority stockholder for the years ended December 31, 2019 and 2018 totaled $557,000 and $550,000, respectively. Management fees for the majority stockholder was suspended in 2020, as such, no management fees were incurred in 2020.</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discussed in Note R below, the Company has entered into various agreements with AerLine, a consolidated VIE through August 31, 2018, and its subsidiaries, XTRA Airways and Songbird, which was legally owned by the Chairman and Vice Chairman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 DISCONTINUED OPERATIONS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business activity of AerLine was to operate charter airline services and the aircraft used to fly these charters were leased from the Company. Additionally, Company personnel dedicated time to providing general, administrative and consulting services to AerLine Holdings, which were covered under a shared service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had determined that the business relationship with AerLine and its subsidiaries qualified AerLine as a VIE with the Company deemed the primary beneficiary. Accordingly, the Company consolidated the financial results of AerLine in accordance with ASC Topic 810 “Consolidation”.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Effective August 31, 2018, AerLine sold all of its interest in XTRA Airways in consideration for a promissory note in the amount of $5,000,000 and a 9.99% interest in the buyer, at which point AerLine ceased to meet the consolidation criteria as a VIE under U.S. GAAP. The historical results of AerLine are reported as discontinued operations in our consolidated statements of operations for all periods presented.</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Since the Company did not have an equity interest in AerLine or participate otherwise in the sharing of the net results of the VIE, the accounting guidance required that the noncontrolling interest on the consolidated statements of operations for the Company represent the full results of the VIE before eliminations. The noncontrolling interest on the consolidated balance sheets represents the net equity of AerLine Holdings before eliminations.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details of our income from discontinued operations, net of tax, consists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Year Ended December</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CCEEFF"/>
            </w:tcBorders>
          </w:tcPr>
          <w:p>
            <w:pPr>
              <w:spacing w:after="0"/>
              <w:rPr>
                <w:sz w:val="20"/>
                <w:szCs w:val="20"/>
                <w:color w:val="auto"/>
              </w:rPr>
            </w:pPr>
          </w:p>
        </w:tc>
        <w:tc>
          <w:tcPr>
            <w:tcW w:w="49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31, 2018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Charter revenue</w:t>
            </w:r>
          </w:p>
        </w:tc>
        <w:tc>
          <w:tcPr>
            <w:tcW w:w="494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28,385,000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Charter expenses</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(19,865,000)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4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(9,693,000)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Depreciation</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(1,659,000)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on sale of intangible assets</w:t>
            </w:r>
          </w:p>
        </w:tc>
        <w:tc>
          <w:tcPr>
            <w:tcW w:w="4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23,177,000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Other income, net</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2,294,000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on deconsolidation</w:t>
            </w:r>
          </w:p>
        </w:tc>
        <w:tc>
          <w:tcPr>
            <w:tcW w:w="4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(1,380,000)</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b w:val="1"/>
                <w:bCs w:val="1"/>
                <w:color w:val="auto"/>
              </w:rPr>
              <w:t>Total income from discontinued operations</w:t>
            </w:r>
          </w:p>
        </w:tc>
        <w:tc>
          <w:tcPr>
            <w:tcW w:w="494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21,259,000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940" w:type="dxa"/>
            <w:vAlign w:val="bottom"/>
            <w:vMerge w:val="restart"/>
          </w:tcPr>
          <w:p>
            <w:pPr>
              <w:jc w:val="right"/>
              <w:ind w:right="3550"/>
              <w:spacing w:after="0"/>
              <w:rPr>
                <w:sz w:val="20"/>
                <w:szCs w:val="20"/>
                <w:color w:val="auto"/>
              </w:rPr>
            </w:pPr>
            <w:r>
              <w:rPr>
                <w:rFonts w:ascii="Arial" w:cs="Arial" w:eastAsia="Arial" w:hAnsi="Arial"/>
                <w:sz w:val="18"/>
                <w:szCs w:val="18"/>
                <w:color w:val="auto"/>
              </w:rPr>
              <w:t>73</w:t>
            </w: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74" w:name="page75"/>
    <w:bookmarkEnd w:id="74"/>
    <w:p>
      <w:pPr>
        <w:jc w:val="both"/>
        <w:ind w:firstLine="648"/>
        <w:spacing w:after="0" w:line="277" w:lineRule="auto"/>
        <w:rPr>
          <w:sz w:val="20"/>
          <w:szCs w:val="20"/>
          <w:color w:val="auto"/>
        </w:rPr>
      </w:pPr>
      <w:r>
        <w:rPr>
          <w:rFonts w:ascii="Arial" w:cs="Arial" w:eastAsia="Arial" w:hAnsi="Arial"/>
          <w:sz w:val="18"/>
          <w:szCs w:val="18"/>
          <w:color w:val="auto"/>
        </w:rPr>
        <w:t>Total interest income charged by the Company to AerLine Holdings for the years ended December 31, 2018 amount to $850,000. The 2018 amount was eliminated upon consolidation.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AerSale, Inc. and AerLine Holdings and its subsidiaries entered into shared services agreements to provide back office and executive services. For the year ended December 31, 2018, the Company recognized $583,000, of revenue related to the agreements. The 2018 amount was eliminated upon consolidation.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AerSale, Inc. and AerLine Holdings and its subsidiaries also entered into Goods and Services Agreements for AerSale, Inc. to provide aircraft, parts and MRO services to the AerLine Holdings subsidiaries. For the year ended December 31, 2018, the Company recognized $3,813,000, of revenue related to the agreements. The 2018 amount was eliminated upon consolidation.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leased various aircraft to AerLine under operating leases with terms ranging from 24 to 60 months, expiring in 2021. On March 5, 2018, these lease agreements were terminated. Rental income recognized by the Company for the year ended December 31, 2018 was $2,419,000 and was eliminated upon consolidation.</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portion of the balances due to the Company from AerLine were forgiven in 2018. Amounts due from AerLine as of December 31, 2020 and 2019, were $5,924,000 and $11,581,000, respectively. The balance due from AerLine as of December 31, 2020 and 2019 is presented in the consolidated balance sheets as due from related party, of which $474,000 and $6,131,000 is presented as a current asset as of December 31, 2020 and 2019, respectively, while $5,450,000 is presented as a long term asset as of December 31, 2020 and 2019. The balances due from AerLine as of December 31, 2020 and 2019 are unsecured and AerLine currently has no operations. The Company has the right to all proceeds received from AerLine related to the sale of assets. The primary asset is the 9.99% ownership interest in the entity that acquired the XTRA Airways customer relationships. The amount of ultimate proceeds to be received through the sale of these assets is uncertain. Should the proceeds received be less than the $5,924,000 asset currently recorded on the Company’s December 31, 2020 balance sheet, the Company will need to record an impairment charge for the difference.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 BENEFIT PLANS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sponsors an employee retirement savings plan that qualifies under Section 401(k) of the Internal Revenue Code. Participating employees may contribute, but not more than statutory limits. The Company makes nondiscretionary 3% Safe Harbor contributions of participants’ eligible earnings who have completed the plan’s eligibility requirements. The contributions are made to the plan on behalf of the employees.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Total nondiscretionary contributions to the plan were as follows: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Nondiscretionary contributions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875,000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404,000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 -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Reverse Merger</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described in Note A – Organization and Principles of Consolidation and Basis of Presentation above, the Company consummated the Merger dated December 22, 2020 with AerSale Aviation and in connection therewith, Monocle merged with and into the Company, whereby the Company survived the Merger and became the successor issuer to Monocle by operation of Rule 12g-3 under the Securities Exchange Act of 1934, as amended. The Company directly acquired AerSale Aviation for aggregate consideration of $317,156,260, consisting of approximately $13,051,000 in cash and 30,410,540 shares of Company Common Stock at $10.00 per share. As additional consideration, the pre-Merger holders of AerSale Aviation common stock and the holders of in-the-money SARs received a contingent right to receive up to 3,000,000 additional shares of the Company’s Common Stock. The Merger has been accounted for as a Reverse Recapitalization in accordance with U.S. GAAP. For accounting purposes, Monocle is considered the “acquired” company and AerSale Aviation is considered the “acquirer.” The Company received cash proceeds in the amount of $48,608,000 resulting from the Merger, which was recorded as additional paid in capital.</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auto"/>
        </w:rPr>
        <w:t>ACT Acquisition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January 7, 2020 the Company acquired all of the outstanding shares of Aircraft Component Technologies, Inc. (ACT), a Florida corporation located in Miami, Florida, for $16,976,000 in cash. The purpose of the acquisition was to improve the Company’s profitability by enhancing service in its TechOps segment. The results of ACT operations have been included in the consolidated financial statements since the acquisition date. All assets and liabilities of ACT were recorded at their fair market value, and to the extent that the purchase cost exceeded the fair market value of the net assets, that excess was recorded as goodwill, all of which is deductible for federal income tax purposes. The goodwill is attributable to the general reputation of the business and the collective experience of ACT’s management and employees. ACT’s revenues and income from operations from January 7, 2020 through December 31, 2020 were $6,532,000 and $700,000, respectively. The purchase price for ACT was allocated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Acquisition</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Fair Values</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Accounts receivable</w:t>
            </w:r>
          </w:p>
        </w:tc>
        <w:tc>
          <w:tcPr>
            <w:tcW w:w="3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Deposits, prepaid expenses, and other current assets</w:t>
            </w:r>
          </w:p>
        </w:tc>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22,000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3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381,000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Other intangible assets</w:t>
            </w:r>
          </w:p>
        </w:tc>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10,096,000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3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6,002,000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(134,000)</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w:t>
            </w:r>
          </w:p>
        </w:tc>
        <w:tc>
          <w:tcPr>
            <w:tcW w:w="3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(833,000)</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Total purchase price</w:t>
            </w:r>
          </w:p>
        </w:tc>
        <w:tc>
          <w:tcPr>
            <w:tcW w:w="3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16,976,000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660"/>
              <w:spacing w:after="0"/>
              <w:rPr>
                <w:sz w:val="20"/>
                <w:szCs w:val="20"/>
                <w:color w:val="auto"/>
              </w:rPr>
            </w:pPr>
            <w:r>
              <w:rPr>
                <w:rFonts w:ascii="Arial" w:cs="Arial" w:eastAsia="Arial" w:hAnsi="Arial"/>
                <w:sz w:val="18"/>
                <w:szCs w:val="18"/>
                <w:color w:val="auto"/>
                <w:w w:val="94"/>
              </w:rPr>
              <w:t>The intangible assets included above consist of the following:</w:t>
            </w:r>
          </w:p>
        </w:tc>
        <w:tc>
          <w:tcPr>
            <w:tcW w:w="3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Trademark and trade name (indefinite lived)</w:t>
            </w:r>
          </w:p>
        </w:tc>
        <w:tc>
          <w:tcPr>
            <w:tcW w:w="3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5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FAA part 145 certificate (indefinite lived)</w:t>
            </w:r>
          </w:p>
        </w:tc>
        <w:tc>
          <w:tcPr>
            <w:tcW w:w="3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Useful</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8"/>
              </w:rPr>
              <w:t>Life 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Customer relationships</w:t>
            </w:r>
          </w:p>
        </w:tc>
        <w:tc>
          <w:tcPr>
            <w:tcW w:w="3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jc w:val="right"/>
              <w:ind w:right="2650"/>
              <w:spacing w:after="0"/>
              <w:rPr>
                <w:sz w:val="20"/>
                <w:szCs w:val="20"/>
                <w:color w:val="auto"/>
              </w:rPr>
            </w:pPr>
            <w:r>
              <w:rPr>
                <w:rFonts w:ascii="Arial" w:cs="Arial" w:eastAsia="Arial" w:hAnsi="Arial"/>
                <w:sz w:val="18"/>
                <w:szCs w:val="18"/>
                <w:color w:val="auto"/>
              </w:rPr>
              <w:t>75</w:t>
            </w: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auto"/>
        </w:rPr>
        <w:t>Qwest Acquisition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June 10, 2019, the Company acquired all of the outstanding shares of a used serviceable material distributor and certified repair facility, Qwest Air Parts, Inc. (“Qwest”), a Florida corporation located in Memphis, Tennessee, for $26,081,000. The purpose of the acquisition was to improve the Company’s profitability by enhancing service in its Asset Management Solutions segment. The results of Qwest operations have been included in the Company’s consolidated financial statements since the acquisition date. All assets and liabilities of Qwest were revalued to their fair market value, and to the extent that the purchase cost exceeded the fair market value of the net assets, that excess was classified as goodwill. The goodwill is attributable to the general reputation of the business and the collective experience of Quest’s management and employees. The goodwill is not expected to be deductible for Federal tax purposes. Qwest’s revenues and income from operations from June 10, 2019 through December 31, 2019 were $10,396,000 and $1,815,000, respectively. This business mainly operates as part of the Company’s Asset Management Solutions segment. The purchase price for Qwest was allocated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Acquisition</w:t>
            </w:r>
          </w:p>
        </w:tc>
      </w:tr>
      <w:tr>
        <w:trPr>
          <w:trHeight w:val="216"/>
        </w:trPr>
        <w:tc>
          <w:tcPr>
            <w:tcW w:w="8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8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r>
      <w:tr>
        <w:trPr>
          <w:trHeight w:val="234"/>
        </w:trPr>
        <w:tc>
          <w:tcPr>
            <w:tcW w:w="8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Values</w:t>
            </w:r>
          </w:p>
        </w:tc>
      </w:tr>
      <w:tr>
        <w:trPr>
          <w:trHeight w:val="209"/>
        </w:trPr>
        <w:tc>
          <w:tcPr>
            <w:tcW w:w="9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Accounts receivable</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Inventory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3,289,000</w:t>
            </w: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Deposits, prepaid expenses, and other current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218,000</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567,000</w:t>
            </w: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intangible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10,324,000</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Goodwill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13,402,000</w:t>
            </w: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(410,000)</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Accrued expenses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(1,151,000)</w:t>
            </w:r>
          </w:p>
        </w:tc>
      </w:tr>
      <w:tr>
        <w:trPr>
          <w:trHeight w:val="230"/>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liability</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(2,872,000)</w:t>
            </w:r>
          </w:p>
        </w:tc>
      </w:tr>
      <w:tr>
        <w:trPr>
          <w:trHeight w:val="209"/>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Total purchase price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26,081,000</w:t>
            </w:r>
          </w:p>
        </w:tc>
        <w:tc>
          <w:tcPr>
            <w:tcW w:w="100" w:type="dxa"/>
            <w:vAlign w:val="bottom"/>
          </w:tcPr>
          <w:p>
            <w:pPr>
              <w:spacing w:after="0"/>
              <w:rPr>
                <w:sz w:val="18"/>
                <w:szCs w:val="18"/>
                <w:color w:val="auto"/>
              </w:rPr>
            </w:pPr>
          </w:p>
        </w:tc>
      </w:tr>
      <w:tr>
        <w:trPr>
          <w:trHeight w:val="426"/>
        </w:trPr>
        <w:tc>
          <w:tcPr>
            <w:tcW w:w="9420" w:type="dxa"/>
            <w:vAlign w:val="bottom"/>
            <w:gridSpan w:val="2"/>
          </w:tcPr>
          <w:p>
            <w:pPr>
              <w:spacing w:after="0"/>
              <w:rPr>
                <w:sz w:val="20"/>
                <w:szCs w:val="20"/>
                <w:color w:val="auto"/>
              </w:rPr>
            </w:pPr>
            <w:r>
              <w:rPr>
                <w:rFonts w:ascii="Arial" w:cs="Arial" w:eastAsia="Arial" w:hAnsi="Arial"/>
                <w:sz w:val="18"/>
                <w:szCs w:val="18"/>
                <w:color w:val="auto"/>
              </w:rPr>
              <w:t>The intangible assets included above consist of the following:</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8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209"/>
        </w:trPr>
        <w:tc>
          <w:tcPr>
            <w:tcW w:w="9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FAA part 145 certificate (indefinite-lived)</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414"/>
        </w:trPr>
        <w:tc>
          <w:tcPr>
            <w:tcW w:w="8440" w:type="dxa"/>
            <w:vAlign w:val="bottom"/>
          </w:tcPr>
          <w:p>
            <w:pPr>
              <w:spacing w:after="0"/>
              <w:rPr>
                <w:sz w:val="24"/>
                <w:szCs w:val="24"/>
                <w:color w:val="auto"/>
              </w:rPr>
            </w:pPr>
          </w:p>
        </w:tc>
        <w:tc>
          <w:tcPr>
            <w:tcW w:w="98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Useful</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440" w:type="dxa"/>
            <w:vAlign w:val="bottom"/>
          </w:tcPr>
          <w:p>
            <w:pPr>
              <w:spacing w:after="0"/>
              <w:rPr>
                <w:sz w:val="18"/>
                <w:szCs w:val="18"/>
                <w:color w:val="auto"/>
              </w:rPr>
            </w:pPr>
          </w:p>
        </w:tc>
        <w:tc>
          <w:tcPr>
            <w:tcW w:w="980" w:type="dxa"/>
            <w:vAlign w:val="bottom"/>
          </w:tcPr>
          <w:p>
            <w:pPr>
              <w:jc w:val="center"/>
              <w:ind w:left="170"/>
              <w:spacing w:after="0"/>
              <w:rPr>
                <w:sz w:val="20"/>
                <w:szCs w:val="20"/>
                <w:color w:val="auto"/>
              </w:rPr>
            </w:pPr>
            <w:r>
              <w:rPr>
                <w:rFonts w:ascii="Arial" w:cs="Arial" w:eastAsia="Arial" w:hAnsi="Arial"/>
                <w:sz w:val="18"/>
                <w:szCs w:val="18"/>
                <w:b w:val="1"/>
                <w:bCs w:val="1"/>
                <w:color w:val="auto"/>
                <w:w w:val="98"/>
              </w:rPr>
              <w:t>Life In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440" w:type="dxa"/>
            <w:vAlign w:val="bottom"/>
          </w:tcPr>
          <w:p>
            <w:pPr>
              <w:spacing w:after="0"/>
              <w:rPr>
                <w:sz w:val="20"/>
                <w:szCs w:val="20"/>
                <w:color w:val="auto"/>
              </w:rPr>
            </w:pPr>
          </w:p>
        </w:tc>
        <w:tc>
          <w:tcPr>
            <w:tcW w:w="980" w:type="dxa"/>
            <w:vAlign w:val="bottom"/>
          </w:tcPr>
          <w:p>
            <w:pPr>
              <w:jc w:val="center"/>
              <w:ind w:left="190"/>
              <w:spacing w:after="0"/>
              <w:rPr>
                <w:sz w:val="20"/>
                <w:szCs w:val="20"/>
                <w:color w:val="auto"/>
              </w:rPr>
            </w:pPr>
            <w:r>
              <w:rPr>
                <w:rFonts w:ascii="Arial" w:cs="Arial" w:eastAsia="Arial" w:hAnsi="Arial"/>
                <w:sz w:val="18"/>
                <w:szCs w:val="18"/>
                <w:b w:val="1"/>
                <w:bCs w:val="1"/>
                <w:color w:val="auto"/>
                <w:w w:val="85"/>
              </w:rPr>
              <w:t>Years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Customer relationships</w:t>
            </w: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9,600,000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Avborne Acquisition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November 28, 2018, the Company acquired all of the outstanding shares Avborne Component Solutions (“Avborne”). The purpose of the acquisition was to improve the Company’s profitability by enhancing service in its TechOps segment. In connection with the acquisition, all assets and liabilities of the acquired company were revalued to their fair market value, and to the extent that the purchase cost exceeded the fair market value of the assets, that excess was classified as goodwill. The purchase price of Avborne was $22,284,000 and was accounted for as a business acquisition. Avborne’s revenues and income from operations from November 28, 2018 through December 31, 2018 were $1,829,000 and $69,000, respectively. This business mainly operates as part of the Company’s TechOps segment. The purchase price for Avborne was allocated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Acquisition</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Fair Values</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Accounts receivables, net</w:t>
            </w:r>
          </w:p>
        </w:tc>
        <w:tc>
          <w:tcPr>
            <w:tcW w:w="5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Inventory</w:t>
            </w:r>
          </w:p>
        </w:tc>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5,500,000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prepaid expenses and other current assets</w:t>
            </w:r>
          </w:p>
        </w:tc>
        <w:tc>
          <w:tcPr>
            <w:tcW w:w="5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211,000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Fixed assets</w:t>
            </w:r>
          </w:p>
        </w:tc>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1,733,000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w:t>
            </w:r>
          </w:p>
        </w:tc>
        <w:tc>
          <w:tcPr>
            <w:tcW w:w="5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3,848,000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Intangible assets</w:t>
            </w:r>
          </w:p>
        </w:tc>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10,000,000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5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63,000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Accounts payable, net</w:t>
            </w:r>
          </w:p>
        </w:tc>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(1,249,000)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taxes</w:t>
            </w:r>
          </w:p>
        </w:tc>
        <w:tc>
          <w:tcPr>
            <w:tcW w:w="5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(37,000)</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b w:val="1"/>
                <w:bCs w:val="1"/>
                <w:color w:val="auto"/>
              </w:rPr>
              <w:t>Accrued expenses</w:t>
            </w:r>
          </w:p>
        </w:tc>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(465,000)</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Total purchase price</w:t>
            </w:r>
          </w:p>
        </w:tc>
        <w:tc>
          <w:tcPr>
            <w:tcW w:w="5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22,284,000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160" w:type="dxa"/>
            <w:vAlign w:val="bottom"/>
            <w:vMerge w:val="restart"/>
          </w:tcPr>
          <w:p>
            <w:pPr>
              <w:jc w:val="right"/>
              <w:ind w:right="4110"/>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The intangible assets included above consist of the following:</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9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Trademarks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FAA certificate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0" w:type="dxa"/>
            <w:vAlign w:val="bottom"/>
            <w:tcBorders>
              <w:top w:val="single" w:sz="8" w:color="CCEEFF"/>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Total intangible assets with indefinite lives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7,900,000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Useful</w:t>
            </w: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4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Life In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Years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Customer relationships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820"/>
              <w:spacing w:after="0"/>
              <w:rPr>
                <w:sz w:val="20"/>
                <w:szCs w:val="20"/>
                <w:color w:val="auto"/>
              </w:rPr>
            </w:pPr>
            <w:r>
              <w:rPr>
                <w:rFonts w:ascii="Arial" w:cs="Arial" w:eastAsia="Arial" w:hAnsi="Arial"/>
                <w:sz w:val="18"/>
                <w:szCs w:val="18"/>
                <w:b w:val="1"/>
                <w:bCs w:val="1"/>
                <w:color w:val="auto"/>
              </w:rPr>
              <w:t>Total intangible assets with definite lives</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unaudited pro forma information presents our consolidated results of operations as if ACT, Qwest and Avborne had been included in our consolidated results since January 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7"/>
          </w:tcPr>
          <w:p>
            <w:pPr>
              <w:jc w:val="center"/>
              <w:ind w:left="67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4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208,938,000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324,871,000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333,215,000</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8,483,000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21,497,000</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34,351,000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Net revenue (loss) attributable to AerSale Corporation common shareholders</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8,483,000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(13,136,000)</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(17,099,000)</w:t>
            </w: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Earnings (loss) per share attributable to AerSale Corporation - basic</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(354.93)</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(461.99)</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 attributable to AerSale Corporation - diluted</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(354.93)</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(461.99)</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unaudited pro forma financial information is presented for informational purposes only, and may not necessarily reflect the Company’s future results of operations or what the results of operations would have been had the Company owned and operated ACT, Qwest and Avborne as of January 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U - SUBSEQUENT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February 23, 2021 the Company ratified its 2020 Equity Incentive Plan and its 2020 Employee Stock Purchase Plan and registered an additional 4,200,000 and 500,000 shares of common stock, respectively, issuable under the plans.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22, 2020, the Audit Committee of the Board (i) dismissed WithumSmith+Brown, PC (“Withum”), Monocle’s independent registered public accounting firm prior to the Business Combination, as the Company’s independent registered public accounting firm and (ii) approved the engagement of Grant Thornton LLP (“Grant Thornton”) as the Company’s independent registered public accounting firm to audit the Company’s consolidated financial statements for the year ended December 31, 2020. Grant Thornton served as independent registered public accounting firm of AerSale Aviation prior to the Business Combination.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648"/>
        <w:spacing w:after="0" w:line="277" w:lineRule="auto"/>
        <w:rPr>
          <w:sz w:val="20"/>
          <w:szCs w:val="20"/>
          <w:color w:val="auto"/>
        </w:rPr>
      </w:pPr>
      <w:r>
        <w:rPr>
          <w:rFonts w:ascii="Arial" w:cs="Arial" w:eastAsia="Arial" w:hAnsi="Arial"/>
          <w:sz w:val="18"/>
          <w:szCs w:val="18"/>
          <w:color w:val="auto"/>
        </w:rPr>
        <w:t>The report of Withum on the financial statements of Monocle as of and for the year ended December 31, 2019 did not contain an adverse opinion or a disclaimer of opinion, and were not qualified or modified as to uncertainties, audit scope or accounting principles.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period from August 20, 2018 (inception) to December 31, 2019, and the subsequent interim period through December 22, 2020, there were no disagreements between Monocle and Withum on any matter of accounting principles or practices, financial statement disclosure or auditing scope or procedure, which disagreements, if not resolved to the satisfaction of Withum, would have caused it to make reference to the subject matter of the disagreements in its report on Monocle’s financial statements for such period.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period from August 20, 2018 (inception) to December 31, 2019 and the subsequent interim period through December 22, 2020, there were no “reportable events” (as defined in Item 304(a)(1)(v) of Regulation S-K under the Exchange Act).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provided Withum with a copy of the foregoing disclosures and has requested that Withum furnish the Company with a letter addressed to the SEC stating whether it agrees with the statements made by the Company set forth above. A copy of Withum’s letter, dated December 22, 2020, was filed as Exhibit 16.1 to the Company’s Form 8-K filed with the SEC on December 23, 2020.</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period from August 20, 2018 (inception) to December 31, 2019 and the subsequent interim period through December 22, 2020, Monocle and the Company did not consult with Grant Thornton regarding any of the matters or events set forth in Item 304(a)(2)(i) and (ii) of Regulation S-K.</w:t>
      </w:r>
    </w:p>
    <w:p>
      <w:pPr>
        <w:spacing w:after="0" w:line="1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231F20"/>
        </w:rPr>
        <w:t>Our management, with the participation of our Chief Executive Officer and Chief Financial Officer, conducted an evaluation of the effectiveness of our disclosure controls and procedures (as defined in Rules 13a-15(e) and 15d-15(e)) under the Exchange Act as of December 31, 2020.</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31F20"/>
        </w:rPr>
        <w:t>Based upon that evaluation, our Chief Executive Officer and Chief Financial Officer concluded that our disclosure controls and procedures were effective at the reasonable assurance level as of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231F20"/>
        </w:rPr>
        <w:t>As disclosed elsewhere in this Annual Report on Form 10-K, we completed the Business Combination on December 22, 2020. Prior to the Business Combination, our predecessor, Monocle was a special purpose acquisition company formed for the purpose of effecting a merger, capital stock exchange, asset acquisition, stock purchase, recapitalization, reorganization or similar business combination with one or more businesses. As a result, previously existing internal controls are no longer applicable or comprehensive enough as of the assessment date, as Monocle’s operations prior to the Business Combination were insignificant compared to those of the consolidated entity post-Business Combination. As a result, and due to the timing of the Business Combination, management was unable, without incurring unreasonable effort or expense, to complete an assessment of our internal control over financial reporting as of December 31, 2020. Accordingly, we are excluding management’s report on internal control over financial reporting pursuant to Section 215.02 of the SEC Division of Corporation Finance’s Regulation S-K Compliance &amp; Disclosure Interpretations.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31F20"/>
        </w:rPr>
        <w:t>This Annual Report on Form 10-K does not include an attestation report of our independent registered accounting firm due to a transition period established by the rules of the SEC for newly public companies.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231F20"/>
        </w:rPr>
        <w:t>Changes in Internal Control over Financial Reporting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There were no changes in our internal control over financial reporting (as defined in Rules 13a-15(f) and 15d-15(f) under the Exchange Act) during the quarter ended December 31, 2020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Annual Meeting of Stockholders</w:t>
      </w:r>
    </w:p>
    <w:p>
      <w:pPr>
        <w:spacing w:after="0" w:line="229"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231F20"/>
        </w:rPr>
        <w:t>The Board of Directors has established June 15, 2021 as the date of the Company's 2021 Annual Meeting of Stockholders (the “2021 Annual Meeting”). The 2021 Annual Meeting will be held virtually. The details of the virtual annual meeting, including how stockholders can log into the virtual meeting, vote and submit questions, will be disclosed in the Company’s definitive proxy statement for the 2021 Annual Meeting, to be filed with the SEC.</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Any stockholder seeking to bring business before the 2021 Annual Meeting or to nominate a director must provide timely notice, as set forth in the Company’s Amended and Restated Bylaws (the “Bylaws”). Specifically, written notice of any proposed business or nomination must be received at the Company’s principal executive offices no later than the close of business on March 26, 2021 (which is the tenth day following this public announcement of the date of the 2021 Annual Meeting). Any notice of proposed business or nomination must comply with the specific requirements set forth in the Bylaws.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Credit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March 12, 2021 (the “Second Amendment Effective Date”), the Company entered into that certain Amendment No. 2 and Joinder (the “Second Amendment”) to the Revolving Credit Agreement, by and among the Existing Loan Parties (as defined in the Credit Agreement), the Lenders signatory thereto, AerSale Corporation and Monocle Parent LLC as New Guarantors (as defined in the Credit Agreement), AerSale Ireland 1 Limited as New Borrower (as defined in the Credit Agreement) and Wells Fargo as Administrative Agent and Lender.</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Among other things, the Second Amendment extends the maturity of the credit facility to the third anniversary of the Second Amendment Effective Date. The Second Amendment permits the company to access an additional $40 million in incremental revolving commitments under the facility, which the Company exercised on the Second Amendment Effective Date. The Second Amendment also reduced the Applicable Margin (as defined in the Credit Agreement) from a fixed rate of 3.50% for LIBOR based loans and 2.50% for base rate loans to a variable rate ranging from 3.00% to 3.50% for LIBOR based loans and 2.00% to 2.50 for base rate loans, depending on Quarterly Average Excess Availability (as defined in the Credit Agreement). The Second Amendment incorporated a LIBOR floor of 0.50%, and built in customary LIBOR replacement language and QFC stay rules. The Second Amendment also waives certain events of default due to the conversion of Qwest Air Parts, LLC into a limited liability company and with respect to the formation of AerSale Ireland 1 Limited. The Second Amendment also made certain changes to the borrowing base calculation, including removing the availability block. Concurrently with the execution of the Second Amendment, AerSale Corporation, Monocle Parent LLC and Monocle Acquisition were joined to the credit facility as guarantors and grantors thereunder, and AerSale Ireland 1 Limited was joined as a new borrower thereunder.</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 and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As of the date of this report, our directors and executive officers are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620" w:type="dxa"/>
            <w:vAlign w:val="bottom"/>
            <w:tcBorders>
              <w:bottom w:val="single" w:sz="8" w:color="231F20"/>
            </w:tcBorders>
          </w:tcPr>
          <w:p>
            <w:pPr>
              <w:ind w:left="108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500" w:type="dxa"/>
            <w:vAlign w:val="bottom"/>
            <w:tcBorders>
              <w:bottom w:val="single" w:sz="8" w:color="231F20"/>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6900" w:type="dxa"/>
            <w:vAlign w:val="bottom"/>
            <w:tcBorders>
              <w:bottom w:val="single" w:sz="8" w:color="231F20"/>
            </w:tcBorders>
          </w:tcPr>
          <w:p>
            <w:pPr>
              <w:ind w:left="3140"/>
              <w:spacing w:after="0"/>
              <w:rPr>
                <w:sz w:val="20"/>
                <w:szCs w:val="20"/>
                <w:color w:val="auto"/>
              </w:rPr>
            </w:pPr>
            <w:r>
              <w:rPr>
                <w:rFonts w:ascii="Arial" w:cs="Arial" w:eastAsia="Arial" w:hAnsi="Arial"/>
                <w:sz w:val="18"/>
                <w:szCs w:val="18"/>
                <w:b w:val="1"/>
                <w:bCs w:val="1"/>
                <w:color w:val="auto"/>
              </w:rPr>
              <w:t>Position</w:t>
            </w:r>
          </w:p>
        </w:tc>
      </w:tr>
      <w:tr>
        <w:trPr>
          <w:trHeight w:val="237"/>
        </w:trPr>
        <w:tc>
          <w:tcPr>
            <w:tcW w:w="2840" w:type="dxa"/>
            <w:vAlign w:val="bottom"/>
            <w:gridSpan w:val="2"/>
          </w:tcPr>
          <w:p>
            <w:pPr>
              <w:spacing w:after="0"/>
              <w:rPr>
                <w:sz w:val="20"/>
                <w:szCs w:val="20"/>
                <w:color w:val="auto"/>
              </w:rPr>
            </w:pPr>
            <w:r>
              <w:rPr>
                <w:rFonts w:ascii="Arial" w:cs="Arial" w:eastAsia="Arial" w:hAnsi="Arial"/>
                <w:sz w:val="18"/>
                <w:szCs w:val="18"/>
                <w:color w:val="auto"/>
              </w:rPr>
              <w:t>Nicolas Finazzo</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Chairman, Chief Executive Officer, Division President, TechOps and Director</w:t>
            </w: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Robert B. Nichols</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00" w:type="dxa"/>
            <w:vAlign w:val="bottom"/>
          </w:tcPr>
          <w:p>
            <w:pPr>
              <w:spacing w:after="0"/>
              <w:rPr>
                <w:sz w:val="21"/>
                <w:szCs w:val="21"/>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231F20"/>
                <w:w w:val="97"/>
              </w:rPr>
              <w:t>Executive Vice Chairman, Division President, Asset Management Solutions and Director</w:t>
            </w: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Martin Garmendia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Treasurer and Secretary</w:t>
            </w: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Basil Barimo</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Division President, MRO Services</w:t>
            </w: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Craig Wright</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Division President, Aircraft &amp; Engine Management</w:t>
            </w: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Gary Jones</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Division President, Airframe &amp; Engine Materials</w:t>
            </w: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Iso Nezaj</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00" w:type="dxa"/>
            <w:vAlign w:val="bottom"/>
          </w:tcPr>
          <w:p>
            <w:pPr>
              <w:spacing w:after="0"/>
              <w:rPr>
                <w:sz w:val="21"/>
                <w:szCs w:val="21"/>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231F20"/>
              </w:rPr>
              <w:t>Division President, Engineered Solutions and Chief Technical Officer</w:t>
            </w: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Jonathan Seiffer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Eric J. Zahler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Sai S. Devabhaktuni</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Richard J. Townsend</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General C. Robert Kehler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Peter Nolan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Michael Kirton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Nicolas Finazzo</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231F20"/>
        </w:rPr>
        <w:t>Nicolas Finazzo has served on our Board since December 2020. Mr. Finazzo founded AerSale Corp. in 2008 and has served as Chairman and Chief Executive Officer from inception until January 2019, and again since December 2019. He has also served as Division President, TechOps since December 2019. From January 2019 to December 2019, Mr. Finazzo was Executive Chairman of AerSale Corp. From 1997 to 2008, Mr. Finazzo was Co-Founder and Chief Executive Officer of AeroTurbine, Inc., a supplier of aircraft and engine products and MRO service provider. In 1997, Mr. Finazzo was Vice President and General Counsel of AeroThrust, Inc., parts supplier, MRO service provider and aircraft engine leasing company. From 1991 to 1997, Mr. Finazzo was Vice President and General Counsel of International Air Leases, Inc., a used aircraft leasing company. From 1987 to 1991, Mr. Finazzo was Vice President of Contracts for Greenwich Air Services, a jet engine MRO service provider. From 1981 to 1987, Mr. Finazzo was President of Southern Express Airways, Inc., a commuter airline operating in the United States.</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231F20"/>
        </w:rPr>
        <w:t>As one of our founders, Chairman and Chief Executive Officer, Mr. Finazzo brings to the Board significant senior leadership and institutional knowledge of the Company with considerable expertise in MRO services, parts distribution and aircraft and engine leasing sectors of the industry.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Robert B. Nichols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231F20"/>
        </w:rPr>
        <w:t>Robert B. Nichols has served on our Board since December 2020. Mr. Nichols founded AerSale Corp. in 2008 and has served as the Executive Vice Chairman since January 2019. He has also served as Division President, Asset Management Solutions since December 2019. From 2017 to December 2019, Mr. Nichols was Principal of AerSale Corp. From 2008 to 2017, Mr. Nichols also was Chief Operating Officer of AerSale Corp. From 1997 to 2008, Mr. Nichols was Co-Founder and Chief Operating Officer of AeroTurbine, Inc. From 1990 to 1997, Mr. Nichols was Vice President of Engine Sales and Leasing for AeroThrust, Inc. From 1989 to 1990, Mr. Nichols was Director of Engine Sales and Leasing for Greenwich Air Services.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As one of our founders and our Executive Vice Chairman, Mr. Nichols brings to the Board significant senior leadership, marketing, technical and global experience along with deep institutional knowledge of the Company, its operations and customer relations.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231F20"/>
        </w:rPr>
        <w:t>Martin Garmendia</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Martin Garmendia has served as our Chief Financial Officer since 2018. From 2015 to 2018, he served as our Senior Vice President of Finance and Corporate Controller. From 2006 to 2015, Mr. Garmendia had various roles for NextEra Energy (NYSE: NEE) including Senior Director of Corporate Accounting for Florida Power &amp; Light, a power utility company and Controller during the IPO of NextEra Energy Partners (NYSE: NEP). From 2003 to 2006, Mr. Garmendia had various roles for Bacardi USA, Inc., a spirits company, including Finance Manager of the Forecast Budget &amp; Analysis Group. From 2000 to 2003, Mr. Garmendia was a Senior Auditor in the Assurance &amp; Advisory Practice at Deloitte &amp; Touche, LLP, a multinational professional services network and accounting firm. Mr. Garmendia is a Certified Public Accountant in the State of Florida.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Basil Barimo</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231F20"/>
        </w:rPr>
        <w:t>Basil Barimo has served as our Division President, MRO Services since December 2019. From January 2019 to December 2019, he served as our Chief Executive Officer and from 2017 to January 2019, Mr. Barimo was Chief Operating Officer of AerSale Corp. From 2010 to 2017, Mr. Barimo was Executive Vice President of Repair for the NORDAM Group, an aerospace components MRO service provider. From 2003 to 2009, Mr. Barimo was the Vice President of Operations and Safety for Air Transport Association of America, a U.S. trade association and lobbying group. From 2002 to 2003, Mr. Barimo was the Vice President of Operations for Avborne, Inc., a supplier of mid-life aircraft, engines and used serviceable material, and MRO service provider. From 1989 to 2002, Mr. Barimo was the Senior Director of Maintenance Quality Assurance for US Airways, Inc., a commercial airline.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Craig Wright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31F20"/>
        </w:rPr>
        <w:t>Craig Wright has served as our Division President, Aircraft &amp; Engine Management since December 2019. From January 2019 to December 2019, he was the President of AerSale Corp. From June 2017 to January 2019, Mr. Wright was Chief Commercial Officer of AerSale Corp. From 2010 to 2017, he was Senior Vice President of Aircraft Leasing for AerSale Corp. From 2006 to 2010, he was Vice President of Fleet for Macquarie AirFinance, a global aircraft leasing company. From 2001 to 2006, Mr. Wright was Director of Corporate Finance for GATX Capital Corp., working in multiple business units including rail/locomotive, IT equipment and aviation finance. From 1990 to 1998, Mr. Wright was a Consulting Engineer for Lin &amp; Associates, Inc., a specialized structural engineering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Gary Jones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31F20"/>
        </w:rPr>
        <w:t>Gary Jones has served as President of our Materials Group since 2019. From 1999 through 2019, he was President and Chief Executive Officer of Qwest Air Parts, a supplier and distributor of commercial aviation parts that was acquired by AerSale Corp. in 2019. From 1983 to 1998, Mr. Jones was Vice President of Acquisitions for GE Capital Aviation Services, a commercial aviation financing and leasing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Iso Nezaj</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Iso Nezaj has served as our Chief Technical Officer since December 2019. He has also served as our Division President, Engineered Solution since 2017. From 2014 to 2017, Mr. Nezaj was our Senior Vice President of Technical Services. From 2010 to 2014, Mr. Nezaj was our Vice President in Technical Services. From 2009 to 2010, he was President of Air One Maintenance &amp; Engineering LLC, a maintenance repair operation service provider. From 2000 to 2009, Mr. Nezaj was General Manager of Commercial Jet Inc., a maintenance repair operation service provider. From 1997 to 1999, Mr. Nezaj was Vice President and Chief Operating Officer of Skytrak International Airlines, Inc., a US FAR certified 21 commercial airline. From 1995 to 1997, Mr. Nezaj was Vice President of Engineering for Aeron Equities, Inc., a leasing aviation company. From 1993 to 1994, Mr. Nezaj was Director of Quality Assurance and Engineering for Kiwi International Airlines, Inc., a US FAR certified 121 commercial airline.</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Jonathan Seiffer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Jonathan Seiffer has served on our Board since December 2020. Mr. Seiffer currently serves as Senior Partner with Leonard Green &amp; Partners, L.P. (“Leonard Green”), a private equity firm which is one of AerSale Corp’s significant shareholders, which he joined in 1994. Before joining Leonard Green, he worked in corporate finance at Donaldson, Lufkin &amp; Jenrette. Mr. Seiffer currently serves on the boards of AerSale Corporation, Signet Jewelers Limited, Authentic Brands Group, Caliber Collision Centers, Mister Car Wash and SRS Distribution. Mr. Seiffer brings particular knowledge and experience in finance, and broad-based experience in the leadership of distribution businesses.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231F20"/>
        </w:rPr>
        <w:t>Mr. Seiffer brings to the board significant strategic leadership, experience in the investment industry and valuable global business perspective.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Eric J. Zahler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231F20"/>
        </w:rPr>
        <w:t>Eric J. Zahler has served on our Board since December 2020 and previously served on the Board of Monocle Holdings, Inc. prior to the Merger. Mr. Zahler has served as Co-Founder, President and Chief Executive Officer of Monocle Acquisition Corporation (Nasdaq: MNCL), whose business combination with AerSale Corp. was consummated in 2020. He has over 35 years of senior leadership, strategy, operations, and governance experience with aerospace and defense companies. Until 2018, Mr. Zahler was a Co-Founder and Managing Director of Sagamore Capital, a private equity firm pursuing investments in the aerospace and defense, industrial electronics, and selected business service markets. Prior to founding Sagamore Capital. Mr. Zahler was President and Chief Operating Officer of Loral Space &amp; Communications, Inc. for eight years and also served on Loral’s Board of Directors. Mr. Zahler was a senior member of the management of Loral since 1992. Mr. Zahler is a member of the Board of Directors of Maxar Technologies (NYSE: MAXR; TSX: MAXR), a leading global provider of advanced space technology solutions for commercial and government markets. He is also Chairman of the Board of exactEarth Ltd. (TSX: XCT), a leading provider of global vessel tracking data for maritime situational awareness, and a member of the Board of Directors of Sequa Corporation, a portfolio company of The Carlyle Group, which provides the global airline industry with a broad range of aftermarket services. From 1975 to 1992, Mr. Zahler was an attorney at Fried, Frank, Harris, Shriver &amp; Jacobson, where he was elected Partner in 1983. At Fried, Frank, he represented numerous aerospace and defense companies in all aspects of their interactions with the U.S. government. Mr. Zahler holds a Bachelor of Science degree in mathematics from Yale University and a law degree from Harvard Law School.</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Mr. Zahler brings to the Board, leadership and operations experience in executive leadership roles at global public companies, as well as accounting and financial expertise with corporate governance experience.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Sai S. Devabhaktuni</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231F20"/>
        </w:rPr>
        <w:t>Sai S. Devabhaktuni has served on our Board since December 2020 and previously served on the Board of Monocle Holdings, Inc. prior to the Business Combination. Mr. Devabhaktuni is Co-Founder and Chairman of the Board of Directors of Monocle Acquisition Corporation (“Monocle”; Nasdaq: MNCL), whose business combination with AerSale Corp. was consummated in 2020. Prior to Monocle, Mr. Devabhaktuni was Head of Corporate Distressed Portfolio Management at Pacific Investment Management Company (“PIMCO”). While at PIMCO, Mr. Devabhaktuni served in various capacities on investment committees of numerous investment funds. Prior to PIMCO, and from 1998 to 2010, he was a Managing Principal at MHR Fund Management LLC (“MHR”) where he was involved in all aspects of the investment process and worked closely with senior management teams of portfolio companies on operational improvements and growth initiatives. Prior to MHR, Mr. Devabhaktuni was a member of the event-driven strategies group at Highbridge Capital Management LLC, and a member of the corporate finance, capital markets and emerging markets groups of Nomura Securities. Mr. Devabhaktuni holds a Bachelor of Science in Economics, with concentrations in Finance, Economics and Legal Studies from the Wharton School of the University of Pennsylvania. Mr. Devabhaktuni has served on the Board of Directors of Loral Space &amp; Communications, Inc. (Nasdaq: LORL) and Applied Natural Gas Fuels Inc., and currently serves on the Board of Directors of Sequa Corporation.</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Mr. Devabhaktuni brings to the board experience in finance, asset management, capital markets and capital management, experience as a senior executive and perspective as an institutional investor.</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231F20"/>
        </w:rPr>
        <w:t>Richard J. Townsend</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231F20"/>
        </w:rPr>
        <w:t>Richard J. Townsend has served on our Board since December 2020 and previously served on the Board of Monocle Holdings, Inc. prior to the Business Combination. Mr. Townsend has served as the Executive Vice President and Chief Financial Officer of Monocle Acquisition Corporation (“Monocle”; Nasdaq: MNCL), whose business combination with AerSale Corp. was consummated in 2020. Mr. Townsend brings 40 years of knowledge and experience in finance, strategy and operations. Prior to Monocle, Mr. Townsend was a Managing Partner at Rangeley Capital (“Rangeley”), with responsibilities as a Portfolio Manager and Chief Operating Officer from 2008 to 2017, and subsequently as an Advisory Partner. Prior to Rangeley, Mr. Townsend was Executive Vice President and Chief Financial Officer of Loral Space &amp; Communications, Inc. (Nasdaq: LORL) from 1998 to 2007, where he was responsible for all financial aspects of the business. From 1996 to 1998, Mr. Townsend served as the Corporate Controller and Director of Strategy of ITT Industries (NYSE: ITT). Mr. Townsend spent the prior 17 years in various roles in operations and financial Management at IBM (NYSE: IBM), including serving as Controller for EMEA (Europe, Middle East and Africa) in France. Prior to IBM, Mr. Townsend was a mechanical engineer at General Electric’s Nuclear Energy Division (NYSE: GE). Mr. Townsend holds a Bachelor of Science degree in Mechanical Engineering from the University of Michigan, a Master of Science degree in Engineering from the University of California at Berkeley and an MBA from Stanford University.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Mr. Townsend brings to the Board extensive experience as a senior operating and finance executive for large public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General C. Robert Kehler</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231F20"/>
        </w:rPr>
        <w:t>General C. Robert Kehler has served on our Board since December 2020 and previously served in the Board of Monocle Holdings, Inc. prior to the Business Combination. Mr. Kehler is USAF (ret), has served as a director of Monocle Acquisition Corp since its prospectus. He has 43 years of leadership, strategy and governance experience related to military operations of the United States of America. General Kehler currently serves on the board of directors of Maxar Technologies Ltd. (Ticker: MAXR) and Inmarsat plc (Ticker: ISAT LN), and is a trustee of the Mitre Corporation, a senior advisor to McKinsey and Company and special advisor to EaglePicher Technologies, LLC. General Kehler retired from the United States Air Force in December 2013 after almost 39 years of distinguished service. From January 2011 until November 2013, he served as the Commander, United States Strategic Command (“USSTRATCOM”), where he was directly responsible to the Secretary of Defense and President for the plans and operations of all U.S. forces conducting strategic deterrence, nuclear alert, global strike, space, cyberspace and associated operations. Prior to commanding USSTRATCOM, General Kehler commanded United States Air Force Space Command and two operational space wings conducting space launch, missile warning, and space control missions. He also commanded an intercontinental ballistic missile squadron and group.</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48"/>
        <w:spacing w:after="0" w:line="273" w:lineRule="auto"/>
        <w:rPr>
          <w:sz w:val="20"/>
          <w:szCs w:val="20"/>
          <w:color w:val="auto"/>
        </w:rPr>
      </w:pPr>
      <w:r>
        <w:rPr>
          <w:rFonts w:ascii="Arial" w:cs="Arial" w:eastAsia="Arial" w:hAnsi="Arial"/>
          <w:sz w:val="17"/>
          <w:szCs w:val="17"/>
          <w:color w:val="231F20"/>
        </w:rPr>
        <w:t>General Kehler entered the Air Force in 1975 as a Distinguished Graduate of the Pennsylvania State University R.O.T.C. program, has master’s degrees in Public Administration and National Security and Strategic Studies, and completed executive development programs at Carnegie-Mellon University, Syracuse University, and Harvard University. His military awards include the Defense Distinguished and Superior Service Medals, the Distinguished Service Medal (2 awards), Legion of Merit (3 awards), and the French Legion of Honor (Officer). General Kehler was the S.T. Lee Distinguished Lecturer at Stanford University’s Freeman Spogli Institute for International Studies for academic year 2014 — 2015, and remains an Affiliate of Stanford’s Center for International Security and Cooperation. He is a Senior Fellow of the National Defense University.</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31F20"/>
        </w:rPr>
        <w:t>Mr. Kehler brings to the Board over 40 years of leadership and governance experience and extensive involvement serving as a director and member of board committees.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Peter Nolan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Peter Nolan has served on our Board since December 2020. Mr. Nolan is the Chairman of Nolan Capital, a private investment company, and is also a senior advisor to Leonard Green &amp; Partners, L.P., a private equity firm, and was previously a managing partner of Leonard Green &amp; Partners. Mr. Nolan currently serves on the board of directors of Activision and AerSale, among others. Prior to becoming a partner at Leonard Green &amp; Partners in 1997, Mr. Nolan served as a managing director and the Co-Head of Donaldson, Lufkin and Jenrette’s Los Angeles Investment Banking Division from 1990 to 1997, as a First Vice President in corporate finance at Drexel Burnham Lambert from 1986 to 1990, and as a Vice President at Prudential Securities, Inc. from 1982 to 1986. Prior to 1982, Mr. Nolan was an associate at Manufacturers Hanover Trust Company.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Mr. Nolan brings to the board experience in finance, asset management, capital markets and capital management, experience as a senior executive and perspective as an institutional investor.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Michael Kirton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Michael Kirton has served on our Board since December 2020. Mr. Kirton currently serves as Partner with Leonard Green which he joined in 2007. Before joining Leonard Green, he worked in corporate finance at Credit Suisse First Boston. Mr. Kirton currently serves on the boards of AerSale, Charter NEX, Fineline Technologies, ProMach, Pure Gym, The Wrench Group, and Troon Golf. Mr. Kirton brings particular knowledge and experience in finance and broad-based experience in the leadership of middle-market businesses.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Mr. Kirton brings to the board experience in finance, asset management, capital markets and capital management, experience as a senior executive and perspective as an institutional investor.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our website, </w:t>
      </w:r>
      <w:r>
        <w:rPr>
          <w:rFonts w:ascii="Arial" w:cs="Arial" w:eastAsia="Arial" w:hAnsi="Arial"/>
          <w:sz w:val="18"/>
          <w:szCs w:val="18"/>
          <w:i w:val="1"/>
          <w:iCs w:val="1"/>
          <w:color w:val="231F20"/>
        </w:rPr>
        <w:t>www.aersale.com/about/investor-relations</w:t>
      </w:r>
      <w:r>
        <w:rPr>
          <w:rFonts w:ascii="Arial" w:cs="Arial" w:eastAsia="Arial" w:hAnsi="Arial"/>
          <w:sz w:val="18"/>
          <w:szCs w:val="18"/>
          <w:color w:val="231F20"/>
        </w:rPr>
        <w:t>. In addition, we intend to post on our website all disclosures that are required by law or Nasdaq Stock Market rules concerning any amendments to, or waivers from, any provision of our Code of Business Conduct and Ethics. The information contained on our website is not incorporated by reference into this Annual Report on Form 10-K.</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The remainder of the response to this Item 10 will be included in our definitive proxy statement to be filed with the SEC with respect to our 2021 Annual Meeting of Stockholders and is incorporated herein by reference.</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231F20"/>
        </w:rPr>
        <w:t>The information required by this Item 11 will be included in our definitive proxy statement to be filed with the SEC with respect to our 2021 Annual Meeting of Stockholders and is incorporated herein by reference.</w:t>
      </w:r>
    </w:p>
    <w:p>
      <w:pPr>
        <w:spacing w:after="0" w:line="166" w:lineRule="exact"/>
        <w:rPr>
          <w:sz w:val="20"/>
          <w:szCs w:val="20"/>
          <w:color w:val="auto"/>
        </w:rPr>
      </w:pPr>
    </w:p>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Securities</w:t>
            </w:r>
          </w:p>
        </w:tc>
      </w:tr>
      <w:tr>
        <w:trPr>
          <w:trHeight w:val="216"/>
        </w:trPr>
        <w:tc>
          <w:tcPr>
            <w:tcW w:w="2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 to</w:t>
            </w:r>
          </w:p>
        </w:tc>
        <w:tc>
          <w:tcPr>
            <w:tcW w:w="10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Weighted-Average</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be Issued Upon</w:t>
            </w:r>
          </w:p>
        </w:tc>
        <w:tc>
          <w:tcPr>
            <w:tcW w:w="10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 Price of</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Available for Future</w:t>
            </w:r>
          </w:p>
        </w:tc>
      </w:tr>
      <w:tr>
        <w:trPr>
          <w:trHeight w:val="216"/>
        </w:trPr>
        <w:tc>
          <w:tcPr>
            <w:tcW w:w="2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Exercise</w:t>
            </w: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Outstanding Options,</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Issuance Under</w:t>
            </w:r>
          </w:p>
        </w:tc>
      </w:tr>
      <w:tr>
        <w:trPr>
          <w:trHeight w:val="216"/>
        </w:trPr>
        <w:tc>
          <w:tcPr>
            <w:tcW w:w="2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of Outstanding Options,</w:t>
            </w:r>
          </w:p>
        </w:tc>
        <w:tc>
          <w:tcPr>
            <w:tcW w:w="10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Warrants, and</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r>
      <w:tr>
        <w:trPr>
          <w:trHeight w:val="234"/>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Plan Category:</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Warrants, and Rights</w:t>
            </w:r>
          </w:p>
        </w:tc>
        <w:tc>
          <w:tcPr>
            <w:tcW w:w="100" w:type="dxa"/>
            <w:vAlign w:val="bottom"/>
          </w:tcPr>
          <w:p>
            <w:pPr>
              <w:spacing w:after="0"/>
              <w:rPr>
                <w:sz w:val="20"/>
                <w:szCs w:val="20"/>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Rights</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Compensation Plans</w:t>
            </w:r>
          </w:p>
        </w:tc>
      </w:tr>
      <w:tr>
        <w:trPr>
          <w:trHeight w:val="195"/>
        </w:trPr>
        <w:tc>
          <w:tcPr>
            <w:tcW w:w="54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w:t>
            </w:r>
          </w:p>
        </w:tc>
        <w:tc>
          <w:tcPr>
            <w:tcW w:w="1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57"/>
        </w:trPr>
        <w:tc>
          <w:tcPr>
            <w:tcW w:w="5540" w:type="dxa"/>
            <w:vAlign w:val="bottom"/>
            <w:gridSpan w:val="3"/>
          </w:tcPr>
          <w:p>
            <w:pPr>
              <w:spacing w:after="0" w:line="256" w:lineRule="exact"/>
              <w:rPr>
                <w:sz w:val="20"/>
                <w:szCs w:val="20"/>
                <w:color w:val="auto"/>
              </w:rPr>
            </w:pPr>
            <w:r>
              <w:rPr>
                <w:rFonts w:ascii="Arial" w:cs="Arial" w:eastAsia="Arial" w:hAnsi="Arial"/>
                <w:sz w:val="18"/>
                <w:szCs w:val="18"/>
                <w:color w:val="auto"/>
              </w:rPr>
              <w:t>2020 Equity Incentive Plan</w:t>
            </w:r>
            <w:r>
              <w:rPr>
                <w:rFonts w:ascii="Arial" w:cs="Arial" w:eastAsia="Arial" w:hAnsi="Arial"/>
                <w:sz w:val="29"/>
                <w:szCs w:val="29"/>
                <w:color w:val="auto"/>
                <w:vertAlign w:val="superscript"/>
              </w:rPr>
              <w:t>(1)</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4,200,000</w:t>
            </w:r>
          </w:p>
        </w:tc>
      </w:tr>
      <w:tr>
        <w:trPr>
          <w:trHeight w:val="257"/>
        </w:trPr>
        <w:tc>
          <w:tcPr>
            <w:tcW w:w="55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2020 Employee Stock Purchase Plan</w:t>
            </w:r>
            <w:r>
              <w:rPr>
                <w:rFonts w:ascii="Arial" w:cs="Arial" w:eastAsia="Arial" w:hAnsi="Arial"/>
                <w:sz w:val="29"/>
                <w:szCs w:val="29"/>
                <w:color w:val="auto"/>
                <w:vertAlign w:val="superscript"/>
              </w:rPr>
              <w:t>(2)</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83"/>
        </w:trPr>
        <w:tc>
          <w:tcPr>
            <w:tcW w:w="554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55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820" w:type="dxa"/>
            <w:vAlign w:val="bottom"/>
            <w:tcBorders>
              <w:bottom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15" w:lineRule="exact"/>
        <w:rPr>
          <w:sz w:val="20"/>
          <w:szCs w:val="20"/>
          <w:color w:val="auto"/>
        </w:rPr>
      </w:pPr>
    </w:p>
    <w:p>
      <w:pPr>
        <w:jc w:val="both"/>
        <w:ind w:left="340" w:hanging="332"/>
        <w:spacing w:after="0" w:line="311"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Consists of the AerSale Corporation 2020 Equity Incentive Plan (the “2020 Plan”). Under this 2020 Plan, a total of 4,200,000 shares were authorized for stock-based compensation available in the form of restricted stock, restricted stock units (“RSUs”), stock appreciation rights (“SARs”), stock options or other stock-based or cash-based awards. As of December 31, 2020, there were no awards outstanding under the 2020 Plan.</w:t>
      </w:r>
    </w:p>
    <w:p>
      <w:pPr>
        <w:spacing w:after="0" w:line="148"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the AerSale Corporation 2020 Employee Stock Purchase Plan (the “ESPP”). Under the ESPP, a total of 500,000 shares were authorized to be purchased by any eligible employees during the offering period. No offering periods in which participants receive options to purchase shares under the 2020 ESPP had been implemented as of December 31, 2020.</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remainder of the response to this Item 12 will be included in our definitive proxy statement to be filed with the SEC with respect to our 2021 Annual Meeting of Stockholders and is incorporated herein by reference.</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231F20"/>
        </w:rPr>
        <w:t>The information required by this Item 13 will be included in our definitive proxy statement to be filed with the SEC with respect to our 2021 Annual Meeting of Stockholders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231F20"/>
        </w:rPr>
        <w:t>The information required by this Item 14 will be included in our definitive proxy statement to be filed with the SEC with respect to our 2021 Annual Meeting of Stockholders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w:t>
      </w:r>
      <w:r>
        <w:rPr>
          <w:rFonts w:ascii="Arial" w:cs="Arial" w:eastAsia="Arial" w:hAnsi="Arial"/>
          <w:sz w:val="18"/>
          <w:szCs w:val="18"/>
          <w:color w:val="auto"/>
        </w:rPr>
        <w: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required by this item are listed in Item 8, “Financial Statements and Supplementary Data”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Filing</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574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c>
          <w:tcPr>
            <w:tcW w:w="680" w:type="dxa"/>
            <w:vAlign w:val="bottom"/>
            <w:gridSpan w:val="2"/>
          </w:tcPr>
          <w:p>
            <w:pPr>
              <w:ind w:left="80"/>
              <w:spacing w:after="0"/>
              <w:rPr>
                <w:sz w:val="20"/>
                <w:szCs w:val="20"/>
                <w:color w:val="auto"/>
              </w:rPr>
            </w:pPr>
            <w:r>
              <w:rPr>
                <w:rFonts w:ascii="Arial" w:cs="Arial" w:eastAsia="Arial" w:hAnsi="Arial"/>
                <w:sz w:val="18"/>
                <w:szCs w:val="18"/>
                <w:b w:val="1"/>
                <w:bCs w:val="1"/>
                <w:color w:val="auto"/>
              </w:rPr>
              <w:t>Form</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File No.</w:t>
            </w: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w w:val="99"/>
              </w:rPr>
              <w:t>Exhibit</w:t>
            </w: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r>
      <w:tr>
        <w:trPr>
          <w:trHeight w:val="40"/>
        </w:trPr>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5000" w:type="dxa"/>
            <w:vAlign w:val="bottom"/>
            <w:tcBorders>
              <w:bottom w:val="single" w:sz="8" w:color="0000EE"/>
            </w:tcBorders>
            <w:gridSpan w:val="2"/>
          </w:tcPr>
          <w:p>
            <w:pPr>
              <w:spacing w:after="0"/>
              <w:rPr>
                <w:rFonts w:ascii="Arial" w:cs="Arial" w:eastAsia="Arial" w:hAnsi="Arial"/>
                <w:sz w:val="18"/>
                <w:szCs w:val="18"/>
                <w:color w:val="0000EE"/>
                <w:w w:val="88"/>
              </w:rPr>
            </w:pPr>
            <w:hyperlink r:id="rId88">
              <w:r>
                <w:rPr>
                  <w:rFonts w:ascii="Arial" w:cs="Arial" w:eastAsia="Arial" w:hAnsi="Arial"/>
                  <w:sz w:val="18"/>
                  <w:szCs w:val="18"/>
                  <w:color w:val="0000EE"/>
                  <w:w w:val="88"/>
                </w:rPr>
                <w:t>Second Amended and Restated Agreement and Plan of Merger, dated</w:t>
              </w:r>
            </w:hyperlink>
          </w:p>
        </w:tc>
        <w:tc>
          <w:tcPr>
            <w:tcW w:w="740" w:type="dxa"/>
            <w:vAlign w:val="bottom"/>
            <w:gridSpan w:val="6"/>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88"/>
              </w:rPr>
              <w:t>001-38801</w:t>
            </w: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2.1</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09/08/2020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8"/>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September 8, 2020, by and among Monocle Acquisition Corporation,</w:t>
              </w:r>
            </w:hyperlink>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Monocle Holdings Inc., AerSale Corp., Monocle Merger Sub 1 Inc., Monocle</w:t>
              </w:r>
            </w:hyperlink>
          </w:p>
        </w:tc>
        <w:tc>
          <w:tcPr>
            <w:tcW w:w="1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2"/>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8"/>
          </w:tcPr>
          <w:p>
            <w:pPr>
              <w:spacing w:after="0"/>
              <w:rPr>
                <w:rFonts w:ascii="Arial" w:cs="Arial" w:eastAsia="Arial" w:hAnsi="Arial"/>
                <w:sz w:val="18"/>
                <w:szCs w:val="18"/>
                <w:u w:val="single" w:color="auto"/>
                <w:color w:val="0000EE"/>
                <w:w w:val="92"/>
              </w:rPr>
            </w:pPr>
            <w:hyperlink r:id="rId88">
              <w:r>
                <w:rPr>
                  <w:rFonts w:ascii="Arial" w:cs="Arial" w:eastAsia="Arial" w:hAnsi="Arial"/>
                  <w:sz w:val="18"/>
                  <w:szCs w:val="18"/>
                  <w:u w:val="single" w:color="auto"/>
                  <w:color w:val="0000EE"/>
                  <w:w w:val="92"/>
                </w:rPr>
                <w:t>Merger Sub 2 LLC, and Leonard Green &amp; Partners, L.P., in its capacity as the</w:t>
              </w:r>
            </w:hyperlink>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40" w:type="dxa"/>
            <w:vAlign w:val="bottom"/>
            <w:gridSpan w:val="8"/>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Holder Representative.</w:t>
              </w:r>
            </w:hyperlink>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5740" w:type="dxa"/>
            <w:vAlign w:val="bottom"/>
            <w:gridSpan w:val="8"/>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Amendment No. 1 to the Second Amended and Restated Agreement and Plan</w:t>
              </w:r>
            </w:hyperlink>
          </w:p>
        </w:tc>
        <w:tc>
          <w:tcPr>
            <w:tcW w:w="68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88"/>
              </w:rPr>
              <w:t>001-38801</w:t>
            </w:r>
          </w:p>
        </w:tc>
        <w:tc>
          <w:tcPr>
            <w:tcW w:w="100" w:type="dxa"/>
            <w:vAlign w:val="bottom"/>
          </w:tcPr>
          <w:p>
            <w:pPr>
              <w:spacing w:after="0"/>
              <w:rPr>
                <w:sz w:val="22"/>
                <w:szCs w:val="22"/>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10.5</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12/17/2020</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80" w:type="dxa"/>
            <w:vAlign w:val="bottom"/>
            <w:tcBorders>
              <w:top w:val="single" w:sz="8" w:color="0000EE"/>
            </w:tcBorders>
            <w:gridSpan w:val="5"/>
          </w:tcPr>
          <w:p>
            <w:pPr>
              <w:spacing w:after="0" w:line="196" w:lineRule="exact"/>
              <w:rPr>
                <w:rFonts w:ascii="Arial" w:cs="Arial" w:eastAsia="Arial" w:hAnsi="Arial"/>
                <w:sz w:val="18"/>
                <w:szCs w:val="18"/>
                <w:color w:val="0000EE"/>
                <w:w w:val="95"/>
              </w:rPr>
            </w:pPr>
            <w:hyperlink r:id="rId89">
              <w:r>
                <w:rPr>
                  <w:rFonts w:ascii="Arial" w:cs="Arial" w:eastAsia="Arial" w:hAnsi="Arial"/>
                  <w:sz w:val="18"/>
                  <w:szCs w:val="18"/>
                  <w:color w:val="0000EE"/>
                  <w:w w:val="95"/>
                </w:rPr>
                <w:t>of Merger, dated December 16, 2020, by and among Monocle Acquisition</w:t>
              </w:r>
            </w:hyperlink>
          </w:p>
        </w:tc>
        <w:tc>
          <w:tcPr>
            <w:tcW w:w="16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Corporation, Monocle Holdings Inc., AerSale Corp., Monocle Merger Sub 1</w:t>
              </w:r>
            </w:hyperlink>
          </w:p>
        </w:tc>
        <w:tc>
          <w:tcPr>
            <w:tcW w:w="24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2"/>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8"/>
          </w:tcPr>
          <w:p>
            <w:pPr>
              <w:spacing w:after="0"/>
              <w:rPr>
                <w:rFonts w:ascii="Arial" w:cs="Arial" w:eastAsia="Arial" w:hAnsi="Arial"/>
                <w:sz w:val="18"/>
                <w:szCs w:val="18"/>
                <w:u w:val="single" w:color="auto"/>
                <w:color w:val="0000EE"/>
                <w:w w:val="94"/>
              </w:rPr>
            </w:pPr>
            <w:hyperlink r:id="rId89">
              <w:r>
                <w:rPr>
                  <w:rFonts w:ascii="Arial" w:cs="Arial" w:eastAsia="Arial" w:hAnsi="Arial"/>
                  <w:sz w:val="18"/>
                  <w:szCs w:val="18"/>
                  <w:u w:val="single" w:color="auto"/>
                  <w:color w:val="0000EE"/>
                  <w:w w:val="94"/>
                </w:rPr>
                <w:t>Inc., Monocle Merger Sub 2 LLC, and Leonard Green &amp; Partners, L.P., in its</w:t>
              </w:r>
            </w:hyperlink>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40" w:type="dxa"/>
            <w:vAlign w:val="bottom"/>
            <w:gridSpan w:val="8"/>
          </w:tcPr>
          <w:p>
            <w:pPr>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capacity as the Holder Representative.</w:t>
              </w:r>
            </w:hyperlink>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688"/>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ind w:left="4480"/>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Filing</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5740" w:type="dxa"/>
            <w:vAlign w:val="bottom"/>
            <w:gridSpan w:val="15"/>
          </w:tcPr>
          <w:p>
            <w:pPr>
              <w:spacing w:after="0"/>
              <w:rPr>
                <w:sz w:val="20"/>
                <w:szCs w:val="20"/>
                <w:color w:val="auto"/>
              </w:rPr>
            </w:pPr>
            <w:r>
              <w:rPr>
                <w:rFonts w:ascii="Arial" w:cs="Arial" w:eastAsia="Arial" w:hAnsi="Arial"/>
                <w:sz w:val="18"/>
                <w:szCs w:val="18"/>
                <w:b w:val="1"/>
                <w:bCs w:val="1"/>
                <w:color w:val="auto"/>
              </w:rPr>
              <w:t>Description</w:t>
            </w:r>
          </w:p>
        </w:tc>
        <w:tc>
          <w:tcPr>
            <w:tcW w:w="680" w:type="dxa"/>
            <w:vAlign w:val="bottom"/>
            <w:gridSpan w:val="2"/>
          </w:tcPr>
          <w:p>
            <w:pPr>
              <w:ind w:left="80"/>
              <w:spacing w:after="0"/>
              <w:rPr>
                <w:sz w:val="20"/>
                <w:szCs w:val="20"/>
                <w:color w:val="auto"/>
              </w:rPr>
            </w:pPr>
            <w:r>
              <w:rPr>
                <w:rFonts w:ascii="Arial" w:cs="Arial" w:eastAsia="Arial" w:hAnsi="Arial"/>
                <w:sz w:val="18"/>
                <w:szCs w:val="18"/>
                <w:b w:val="1"/>
                <w:bCs w:val="1"/>
                <w:color w:val="auto"/>
              </w:rPr>
              <w:t>Form</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File No.</w:t>
            </w: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w w:val="99"/>
              </w:rPr>
              <w:t>Exhibit</w:t>
            </w: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r>
      <w:tr>
        <w:trPr>
          <w:trHeight w:val="41"/>
        </w:trPr>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5280" w:type="dxa"/>
            <w:vAlign w:val="bottom"/>
            <w:tcBorders>
              <w:bottom w:val="single" w:sz="8" w:color="0000EE"/>
            </w:tcBorders>
            <w:gridSpan w:val="9"/>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Amended and Restated Certificate of Incorporation of Monocle Holdings</w:t>
              </w:r>
            </w:hyperlink>
          </w:p>
        </w:tc>
        <w:tc>
          <w:tcPr>
            <w:tcW w:w="460" w:type="dxa"/>
            <w:vAlign w:val="bottom"/>
            <w:gridSpan w:val="6"/>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S-4/A</w:t>
            </w:r>
          </w:p>
        </w:tc>
        <w:tc>
          <w:tcPr>
            <w:tcW w:w="900" w:type="dxa"/>
            <w:vAlign w:val="bottom"/>
          </w:tcPr>
          <w:p>
            <w:pPr>
              <w:spacing w:after="0"/>
              <w:rPr>
                <w:sz w:val="20"/>
                <w:szCs w:val="20"/>
                <w:color w:val="auto"/>
              </w:rPr>
            </w:pPr>
            <w:r>
              <w:rPr>
                <w:rFonts w:ascii="Arial" w:cs="Arial" w:eastAsia="Arial" w:hAnsi="Arial"/>
                <w:sz w:val="18"/>
                <w:szCs w:val="18"/>
                <w:color w:val="auto"/>
                <w:w w:val="91"/>
              </w:rPr>
              <w:t>333-235766</w:t>
            </w: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3.1</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10/14/2020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Inc., dated October 13, 2020.</w:t>
              </w:r>
            </w:hyperlink>
          </w:p>
        </w:tc>
        <w:tc>
          <w:tcPr>
            <w:tcW w:w="3640" w:type="dxa"/>
            <w:vAlign w:val="bottom"/>
            <w:gridSpan w:val="12"/>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color w:val="0000EE"/>
              </w:rPr>
            </w:pPr>
            <w:hyperlink r:id="rId91">
              <w:r>
                <w:rPr>
                  <w:rFonts w:ascii="Arial" w:cs="Arial" w:eastAsia="Arial" w:hAnsi="Arial"/>
                  <w:sz w:val="18"/>
                  <w:szCs w:val="18"/>
                  <w:color w:val="0000EE"/>
                </w:rPr>
                <w:t>Certificate of Amendment to the Amended and Restated Certificate of</w:t>
              </w:r>
            </w:hyperlink>
          </w:p>
        </w:tc>
        <w:tc>
          <w:tcPr>
            <w:tcW w:w="68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tcPr>
          <w:p>
            <w:pPr>
              <w:spacing w:after="0"/>
              <w:rPr>
                <w:sz w:val="20"/>
                <w:szCs w:val="20"/>
                <w:color w:val="auto"/>
              </w:rPr>
            </w:pPr>
            <w:r>
              <w:rPr>
                <w:rFonts w:ascii="Arial" w:cs="Arial" w:eastAsia="Arial" w:hAnsi="Arial"/>
                <w:sz w:val="18"/>
                <w:szCs w:val="18"/>
                <w:color w:val="auto"/>
              </w:rPr>
              <w:t>001-38801</w:t>
            </w: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3.2</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12/23/2020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Borders>
              <w:top w:val="single" w:sz="8" w:color="0000EE"/>
            </w:tcBorders>
            <w:gridSpan w:val="7"/>
          </w:tcPr>
          <w:p>
            <w:pPr>
              <w:spacing w:after="0"/>
              <w:rPr>
                <w:rFonts w:ascii="Arial" w:cs="Arial" w:eastAsia="Arial" w:hAnsi="Arial"/>
                <w:sz w:val="18"/>
                <w:szCs w:val="18"/>
                <w:u w:val="single" w:color="auto"/>
                <w:color w:val="0000EE"/>
                <w:w w:val="94"/>
              </w:rPr>
            </w:pPr>
            <w:hyperlink r:id="rId91">
              <w:r>
                <w:rPr>
                  <w:rFonts w:ascii="Arial" w:cs="Arial" w:eastAsia="Arial" w:hAnsi="Arial"/>
                  <w:sz w:val="18"/>
                  <w:szCs w:val="18"/>
                  <w:u w:val="single" w:color="auto"/>
                  <w:color w:val="0000EE"/>
                  <w:w w:val="94"/>
                </w:rPr>
                <w:t>Incorporation of Monocle Holdings Inc., dated December 22, 2020.</w:t>
              </w:r>
            </w:hyperlink>
          </w:p>
        </w:tc>
        <w:tc>
          <w:tcPr>
            <w:tcW w:w="700" w:type="dxa"/>
            <w:vAlign w:val="bottom"/>
            <w:gridSpan w:val="8"/>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5740" w:type="dxa"/>
            <w:vAlign w:val="bottom"/>
            <w:gridSpan w:val="15"/>
          </w:tcPr>
          <w:p>
            <w:pPr>
              <w:spacing w:after="0"/>
              <w:rPr>
                <w:rFonts w:ascii="Arial" w:cs="Arial" w:eastAsia="Arial" w:hAnsi="Arial"/>
                <w:sz w:val="18"/>
                <w:szCs w:val="18"/>
                <w:color w:val="0000EE"/>
                <w:w w:val="94"/>
              </w:rPr>
            </w:pPr>
            <w:hyperlink r:id="rId92">
              <w:r>
                <w:rPr>
                  <w:rFonts w:ascii="Arial" w:cs="Arial" w:eastAsia="Arial" w:hAnsi="Arial"/>
                  <w:sz w:val="18"/>
                  <w:szCs w:val="18"/>
                  <w:color w:val="0000EE"/>
                  <w:w w:val="94"/>
                </w:rPr>
                <w:t>Amended and Restated Bylaws of Monocle Holdings Inc., dated October 13,</w:t>
              </w:r>
            </w:hyperlink>
          </w:p>
        </w:tc>
        <w:tc>
          <w:tcPr>
            <w:tcW w:w="680" w:type="dxa"/>
            <w:vAlign w:val="bottom"/>
            <w:gridSpan w:val="2"/>
          </w:tcPr>
          <w:p>
            <w:pPr>
              <w:spacing w:after="0"/>
              <w:rPr>
                <w:sz w:val="20"/>
                <w:szCs w:val="20"/>
                <w:color w:val="auto"/>
              </w:rPr>
            </w:pPr>
            <w:r>
              <w:rPr>
                <w:rFonts w:ascii="Arial" w:cs="Arial" w:eastAsia="Arial" w:hAnsi="Arial"/>
                <w:sz w:val="18"/>
                <w:szCs w:val="18"/>
                <w:color w:val="auto"/>
              </w:rPr>
              <w:t>S-4/A</w:t>
            </w:r>
          </w:p>
        </w:tc>
        <w:tc>
          <w:tcPr>
            <w:tcW w:w="900" w:type="dxa"/>
            <w:vAlign w:val="bottom"/>
          </w:tcPr>
          <w:p>
            <w:pPr>
              <w:spacing w:after="0"/>
              <w:rPr>
                <w:sz w:val="20"/>
                <w:szCs w:val="20"/>
                <w:color w:val="auto"/>
              </w:rPr>
            </w:pPr>
            <w:r>
              <w:rPr>
                <w:rFonts w:ascii="Arial" w:cs="Arial" w:eastAsia="Arial" w:hAnsi="Arial"/>
                <w:sz w:val="18"/>
                <w:szCs w:val="18"/>
                <w:color w:val="auto"/>
                <w:w w:val="91"/>
              </w:rPr>
              <w:t>333-235766</w:t>
            </w:r>
          </w:p>
        </w:tc>
        <w:tc>
          <w:tcPr>
            <w:tcW w:w="100" w:type="dxa"/>
            <w:vAlign w:val="bottom"/>
          </w:tcPr>
          <w:p>
            <w:pPr>
              <w:spacing w:after="0"/>
              <w:rPr>
                <w:sz w:val="22"/>
                <w:szCs w:val="22"/>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3.2</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10/14/2020</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92">
              <w:r>
                <w:rPr>
                  <w:rFonts w:ascii="Arial" w:cs="Arial" w:eastAsia="Arial" w:hAnsi="Arial"/>
                  <w:sz w:val="18"/>
                  <w:szCs w:val="18"/>
                  <w:color w:val="0000EE"/>
                  <w:w w:val="88"/>
                </w:rPr>
                <w:t>2020.</w:t>
              </w:r>
            </w:hyperlink>
          </w:p>
        </w:tc>
        <w:tc>
          <w:tcPr>
            <w:tcW w:w="20" w:type="dxa"/>
            <w:vAlign w:val="bottom"/>
            <w:tcBorders>
              <w:top w:val="single" w:sz="8" w:color="0000EE"/>
              <w:bottom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4960" w:type="dxa"/>
            <w:vAlign w:val="bottom"/>
            <w:tcBorders>
              <w:bottom w:val="single" w:sz="8" w:color="0000EE"/>
            </w:tcBorders>
            <w:gridSpan w:val="5"/>
          </w:tcPr>
          <w:p>
            <w:pPr>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Amendment No. 1 to the Amended and Restated Bylaws of Monocle</w:t>
              </w:r>
            </w:hyperlink>
          </w:p>
        </w:tc>
        <w:tc>
          <w:tcPr>
            <w:tcW w:w="780" w:type="dxa"/>
            <w:vAlign w:val="bottom"/>
            <w:gridSpan w:val="10"/>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tcPr>
          <w:p>
            <w:pPr>
              <w:spacing w:after="0"/>
              <w:rPr>
                <w:sz w:val="20"/>
                <w:szCs w:val="20"/>
                <w:color w:val="auto"/>
              </w:rPr>
            </w:pPr>
            <w:r>
              <w:rPr>
                <w:rFonts w:ascii="Arial" w:cs="Arial" w:eastAsia="Arial" w:hAnsi="Arial"/>
                <w:sz w:val="18"/>
                <w:szCs w:val="18"/>
                <w:color w:val="auto"/>
              </w:rPr>
              <w:t>001-38801</w:t>
            </w: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3.4</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12/23/2020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93">
              <w:r>
                <w:rPr>
                  <w:rFonts w:ascii="Arial" w:cs="Arial" w:eastAsia="Arial" w:hAnsi="Arial"/>
                  <w:sz w:val="18"/>
                  <w:szCs w:val="18"/>
                  <w:color w:val="0000EE"/>
                  <w:w w:val="89"/>
                </w:rPr>
                <w:t>Holdings Inc., dated December 22, 2020.</w:t>
              </w:r>
            </w:hyperlink>
          </w:p>
        </w:tc>
        <w:tc>
          <w:tcPr>
            <w:tcW w:w="2780" w:type="dxa"/>
            <w:vAlign w:val="bottom"/>
            <w:gridSpan w:val="11"/>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Specimen Common Stock Certificate of Monocle Holdings Inc.</w:t>
              </w:r>
            </w:hyperlink>
          </w:p>
        </w:tc>
        <w:tc>
          <w:tcPr>
            <w:tcW w:w="680" w:type="dxa"/>
            <w:vAlign w:val="bottom"/>
            <w:gridSpan w:val="2"/>
          </w:tcPr>
          <w:p>
            <w:pPr>
              <w:spacing w:after="0"/>
              <w:rPr>
                <w:sz w:val="20"/>
                <w:szCs w:val="20"/>
                <w:color w:val="auto"/>
              </w:rPr>
            </w:pPr>
            <w:r>
              <w:rPr>
                <w:rFonts w:ascii="Arial" w:cs="Arial" w:eastAsia="Arial" w:hAnsi="Arial"/>
                <w:sz w:val="18"/>
                <w:szCs w:val="18"/>
                <w:color w:val="auto"/>
              </w:rPr>
              <w:t>S-4/A</w:t>
            </w:r>
          </w:p>
        </w:tc>
        <w:tc>
          <w:tcPr>
            <w:tcW w:w="900" w:type="dxa"/>
            <w:vAlign w:val="bottom"/>
          </w:tcPr>
          <w:p>
            <w:pPr>
              <w:spacing w:after="0"/>
              <w:rPr>
                <w:sz w:val="20"/>
                <w:szCs w:val="20"/>
                <w:color w:val="auto"/>
              </w:rPr>
            </w:pPr>
            <w:r>
              <w:rPr>
                <w:rFonts w:ascii="Arial" w:cs="Arial" w:eastAsia="Arial" w:hAnsi="Arial"/>
                <w:sz w:val="18"/>
                <w:szCs w:val="18"/>
                <w:color w:val="auto"/>
                <w:w w:val="91"/>
              </w:rPr>
              <w:t>333-235766</w:t>
            </w: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4.2</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02/14/2020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Specimen Warrant Certificate of Monocle Holdings Inc.</w:t>
              </w:r>
            </w:hyperlink>
          </w:p>
        </w:tc>
        <w:tc>
          <w:tcPr>
            <w:tcW w:w="680" w:type="dxa"/>
            <w:vAlign w:val="bottom"/>
            <w:gridSpan w:val="2"/>
          </w:tcPr>
          <w:p>
            <w:pPr>
              <w:spacing w:after="0"/>
              <w:rPr>
                <w:sz w:val="20"/>
                <w:szCs w:val="20"/>
                <w:color w:val="auto"/>
              </w:rPr>
            </w:pPr>
            <w:r>
              <w:rPr>
                <w:rFonts w:ascii="Arial" w:cs="Arial" w:eastAsia="Arial" w:hAnsi="Arial"/>
                <w:sz w:val="18"/>
                <w:szCs w:val="18"/>
                <w:color w:val="auto"/>
              </w:rPr>
              <w:t>S-4/A</w:t>
            </w:r>
          </w:p>
        </w:tc>
        <w:tc>
          <w:tcPr>
            <w:tcW w:w="900" w:type="dxa"/>
            <w:vAlign w:val="bottom"/>
          </w:tcPr>
          <w:p>
            <w:pPr>
              <w:spacing w:after="0"/>
              <w:rPr>
                <w:sz w:val="20"/>
                <w:szCs w:val="20"/>
                <w:color w:val="auto"/>
              </w:rPr>
            </w:pPr>
            <w:r>
              <w:rPr>
                <w:rFonts w:ascii="Arial" w:cs="Arial" w:eastAsia="Arial" w:hAnsi="Arial"/>
                <w:sz w:val="18"/>
                <w:szCs w:val="18"/>
                <w:color w:val="auto"/>
                <w:w w:val="91"/>
              </w:rPr>
              <w:t>333-235766</w:t>
            </w: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4.3</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02/14/2020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5440" w:type="dxa"/>
            <w:vAlign w:val="bottom"/>
            <w:tcBorders>
              <w:bottom w:val="single" w:sz="8" w:color="0000EE"/>
            </w:tcBorders>
            <w:gridSpan w:val="12"/>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Warrant Agreement, dated February 6, 2019, between Monocle Acquisition</w:t>
              </w:r>
            </w:hyperlink>
          </w:p>
        </w:tc>
        <w:tc>
          <w:tcPr>
            <w:tcW w:w="300" w:type="dxa"/>
            <w:vAlign w:val="bottom"/>
            <w:gridSpan w:val="3"/>
          </w:tcPr>
          <w:p>
            <w:pPr>
              <w:spacing w:after="0"/>
              <w:rPr>
                <w:sz w:val="22"/>
                <w:szCs w:val="22"/>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tcPr>
          <w:p>
            <w:pPr>
              <w:spacing w:after="0"/>
              <w:rPr>
                <w:sz w:val="20"/>
                <w:szCs w:val="20"/>
                <w:color w:val="auto"/>
              </w:rPr>
            </w:pPr>
            <w:r>
              <w:rPr>
                <w:rFonts w:ascii="Arial" w:cs="Arial" w:eastAsia="Arial" w:hAnsi="Arial"/>
                <w:sz w:val="18"/>
                <w:szCs w:val="18"/>
                <w:color w:val="auto"/>
              </w:rPr>
              <w:t>001-38801</w:t>
            </w:r>
          </w:p>
        </w:tc>
        <w:tc>
          <w:tcPr>
            <w:tcW w:w="100" w:type="dxa"/>
            <w:vAlign w:val="bottom"/>
          </w:tcPr>
          <w:p>
            <w:pPr>
              <w:spacing w:after="0"/>
              <w:rPr>
                <w:sz w:val="22"/>
                <w:szCs w:val="22"/>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02/12/2019</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15"/>
          </w:tcPr>
          <w:p>
            <w:pPr>
              <w:spacing w:after="0" w:line="196" w:lineRule="exact"/>
              <w:rPr>
                <w:rFonts w:ascii="Arial" w:cs="Arial" w:eastAsia="Arial" w:hAnsi="Arial"/>
                <w:sz w:val="18"/>
                <w:szCs w:val="18"/>
                <w:color w:val="0000EE"/>
                <w:w w:val="97"/>
              </w:rPr>
            </w:pPr>
            <w:hyperlink r:id="rId96">
              <w:r>
                <w:rPr>
                  <w:rFonts w:ascii="Arial" w:cs="Arial" w:eastAsia="Arial" w:hAnsi="Arial"/>
                  <w:sz w:val="18"/>
                  <w:szCs w:val="18"/>
                  <w:color w:val="0000EE"/>
                  <w:w w:val="97"/>
                </w:rPr>
                <w:t>Corporation and Continental Stock Transfer &amp; Trust Company, as warrant</w:t>
              </w:r>
            </w:hyperlink>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agent.</w:t>
              </w:r>
            </w:hyperlink>
          </w:p>
        </w:tc>
        <w:tc>
          <w:tcPr>
            <w:tcW w:w="42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Description of the Registrant’s Securities</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5740" w:type="dxa"/>
            <w:vAlign w:val="bottom"/>
            <w:gridSpan w:val="15"/>
          </w:tcPr>
          <w:p>
            <w:pPr>
              <w:spacing w:after="0"/>
              <w:rPr>
                <w:rFonts w:ascii="Arial" w:cs="Arial" w:eastAsia="Arial" w:hAnsi="Arial"/>
                <w:sz w:val="18"/>
                <w:szCs w:val="18"/>
                <w:color w:val="0000EE"/>
              </w:rPr>
            </w:pPr>
            <w:hyperlink r:id="rId97">
              <w:r>
                <w:rPr>
                  <w:rFonts w:ascii="Arial" w:cs="Arial" w:eastAsia="Arial" w:hAnsi="Arial"/>
                  <w:sz w:val="18"/>
                  <w:szCs w:val="18"/>
                  <w:color w:val="0000EE"/>
                </w:rPr>
                <w:t>Letter Agreement, dated December 16, 2020, by and among Monocle</w:t>
              </w:r>
            </w:hyperlink>
          </w:p>
        </w:tc>
        <w:tc>
          <w:tcPr>
            <w:tcW w:w="68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tcPr>
          <w:p>
            <w:pPr>
              <w:spacing w:after="0"/>
              <w:rPr>
                <w:sz w:val="20"/>
                <w:szCs w:val="20"/>
                <w:color w:val="auto"/>
              </w:rPr>
            </w:pPr>
            <w:r>
              <w:rPr>
                <w:rFonts w:ascii="Arial" w:cs="Arial" w:eastAsia="Arial" w:hAnsi="Arial"/>
                <w:sz w:val="18"/>
                <w:szCs w:val="18"/>
                <w:color w:val="auto"/>
              </w:rPr>
              <w:t>001-38801</w:t>
            </w:r>
          </w:p>
        </w:tc>
        <w:tc>
          <w:tcPr>
            <w:tcW w:w="100" w:type="dxa"/>
            <w:vAlign w:val="bottom"/>
          </w:tcPr>
          <w:p>
            <w:pPr>
              <w:spacing w:after="0"/>
              <w:rPr>
                <w:sz w:val="22"/>
                <w:szCs w:val="22"/>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12/17/2020</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Acquisition Corporation, Monocle Holdings Inc., AerSale Corp., Monocle</w:t>
              </w:r>
            </w:hyperlink>
          </w:p>
        </w:tc>
        <w:tc>
          <w:tcPr>
            <w:tcW w:w="38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15"/>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Merger Sub 1 Inc., Monocle Merger Sub 2 LLC, and Leonard Green &amp;</w:t>
              </w:r>
            </w:hyperlink>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0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Partners, L.P., in its capacity as the Holder Representative.</w:t>
              </w:r>
            </w:hyperlink>
          </w:p>
        </w:tc>
        <w:tc>
          <w:tcPr>
            <w:tcW w:w="640" w:type="dxa"/>
            <w:vAlign w:val="bottom"/>
            <w:gridSpan w:val="7"/>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688"/>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5"/>
          </w:tcPr>
          <w:p>
            <w:pPr>
              <w:ind w:left="4480"/>
              <w:spacing w:after="0"/>
              <w:rPr>
                <w:sz w:val="20"/>
                <w:szCs w:val="20"/>
                <w:color w:val="auto"/>
              </w:rPr>
            </w:pPr>
            <w:r>
              <w:rPr>
                <w:rFonts w:ascii="Arial" w:cs="Arial" w:eastAsia="Arial" w:hAnsi="Arial"/>
                <w:sz w:val="18"/>
                <w:szCs w:val="18"/>
                <w:color w:val="auto"/>
              </w:rPr>
              <w:t>87</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5"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Filing</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5740" w:type="dxa"/>
            <w:vAlign w:val="bottom"/>
            <w:gridSpan w:val="17"/>
          </w:tcPr>
          <w:p>
            <w:pPr>
              <w:spacing w:after="0"/>
              <w:rPr>
                <w:sz w:val="20"/>
                <w:szCs w:val="20"/>
                <w:color w:val="auto"/>
              </w:rPr>
            </w:pPr>
            <w:r>
              <w:rPr>
                <w:rFonts w:ascii="Arial" w:cs="Arial" w:eastAsia="Arial" w:hAnsi="Arial"/>
                <w:sz w:val="18"/>
                <w:szCs w:val="18"/>
                <w:b w:val="1"/>
                <w:bCs w:val="1"/>
                <w:color w:val="auto"/>
              </w:rPr>
              <w:t>Description</w:t>
            </w:r>
          </w:p>
        </w:tc>
        <w:tc>
          <w:tcPr>
            <w:tcW w:w="680" w:type="dxa"/>
            <w:vAlign w:val="bottom"/>
            <w:gridSpan w:val="2"/>
          </w:tcPr>
          <w:p>
            <w:pPr>
              <w:ind w:left="80"/>
              <w:spacing w:after="0"/>
              <w:rPr>
                <w:sz w:val="20"/>
                <w:szCs w:val="20"/>
                <w:color w:val="auto"/>
              </w:rPr>
            </w:pPr>
            <w:r>
              <w:rPr>
                <w:rFonts w:ascii="Arial" w:cs="Arial" w:eastAsia="Arial" w:hAnsi="Arial"/>
                <w:sz w:val="18"/>
                <w:szCs w:val="18"/>
                <w:b w:val="1"/>
                <w:bCs w:val="1"/>
                <w:color w:val="auto"/>
              </w:rPr>
              <w:t>Form</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File No.</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9"/>
              </w:rPr>
              <w:t>Exhibit</w:t>
            </w: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r>
      <w:tr>
        <w:trPr>
          <w:trHeight w:val="41"/>
        </w:trPr>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5740" w:type="dxa"/>
            <w:vAlign w:val="bottom"/>
            <w:gridSpan w:val="17"/>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Amended and Restated Founder Shares Agreement, dated September 8, 2020,</w:t>
              </w:r>
            </w:hyperlink>
          </w:p>
        </w:tc>
        <w:tc>
          <w:tcPr>
            <w:tcW w:w="68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88"/>
              </w:rPr>
              <w:t>001-38801</w:t>
            </w:r>
          </w:p>
        </w:tc>
        <w:tc>
          <w:tcPr>
            <w:tcW w:w="100" w:type="dxa"/>
            <w:vAlign w:val="bottom"/>
          </w:tcPr>
          <w:p>
            <w:pPr>
              <w:spacing w:after="0"/>
              <w:rPr>
                <w:sz w:val="18"/>
                <w:szCs w:val="18"/>
                <w:color w:val="auto"/>
              </w:rPr>
            </w:pPr>
          </w:p>
        </w:tc>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10.1</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09/08/2020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by and among Monocle Partners, LLC, Cowen Investments II LLC, Monocle</w:t>
              </w:r>
            </w:hyperlink>
          </w:p>
        </w:tc>
        <w:tc>
          <w:tcPr>
            <w:tcW w:w="40" w:type="dxa"/>
            <w:vAlign w:val="bottom"/>
            <w:tcBorders>
              <w:top w:val="single" w:sz="8" w:color="0000EE"/>
            </w:tcBorders>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Acquisition Corp, Monocle Holdings Inc. and AerSale Corp.</w:t>
              </w:r>
            </w:hyperlink>
          </w:p>
        </w:tc>
        <w:tc>
          <w:tcPr>
            <w:tcW w:w="1360" w:type="dxa"/>
            <w:vAlign w:val="bottom"/>
            <w:gridSpan w:val="14"/>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5240" w:type="dxa"/>
            <w:vAlign w:val="bottom"/>
            <w:tcBorders>
              <w:bottom w:val="single" w:sz="8" w:color="0000EE"/>
            </w:tcBorders>
            <w:gridSpan w:val="8"/>
          </w:tcPr>
          <w:p>
            <w:pPr>
              <w:spacing w:after="0"/>
              <w:rPr>
                <w:rFonts w:ascii="Arial" w:cs="Arial" w:eastAsia="Arial" w:hAnsi="Arial"/>
                <w:sz w:val="18"/>
                <w:szCs w:val="18"/>
                <w:color w:val="0000EE"/>
                <w:w w:val="88"/>
              </w:rPr>
            </w:pPr>
            <w:hyperlink r:id="rId99">
              <w:r>
                <w:rPr>
                  <w:rFonts w:ascii="Arial" w:cs="Arial" w:eastAsia="Arial" w:hAnsi="Arial"/>
                  <w:sz w:val="18"/>
                  <w:szCs w:val="18"/>
                  <w:color w:val="0000EE"/>
                  <w:w w:val="88"/>
                </w:rPr>
                <w:t>Amendment No. 1 to the Second Amended and Restated Founder Shares</w:t>
              </w:r>
            </w:hyperlink>
          </w:p>
        </w:tc>
        <w:tc>
          <w:tcPr>
            <w:tcW w:w="500" w:type="dxa"/>
            <w:vAlign w:val="bottom"/>
            <w:gridSpan w:val="9"/>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88"/>
              </w:rPr>
              <w:t>001-38801</w:t>
            </w:r>
          </w:p>
        </w:tc>
        <w:tc>
          <w:tcPr>
            <w:tcW w:w="100" w:type="dxa"/>
            <w:vAlign w:val="bottom"/>
          </w:tcPr>
          <w:p>
            <w:pPr>
              <w:spacing w:after="0"/>
              <w:rPr>
                <w:sz w:val="24"/>
                <w:szCs w:val="24"/>
                <w:color w:val="auto"/>
              </w:rPr>
            </w:pPr>
          </w:p>
        </w:tc>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10.2</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12/17/2020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17"/>
          </w:tcPr>
          <w:p>
            <w:pPr>
              <w:spacing w:after="0" w:line="196" w:lineRule="exact"/>
              <w:rPr>
                <w:rFonts w:ascii="Arial" w:cs="Arial" w:eastAsia="Arial" w:hAnsi="Arial"/>
                <w:sz w:val="18"/>
                <w:szCs w:val="18"/>
                <w:color w:val="0000EE"/>
                <w:w w:val="98"/>
              </w:rPr>
            </w:pPr>
            <w:hyperlink r:id="rId99">
              <w:r>
                <w:rPr>
                  <w:rFonts w:ascii="Arial" w:cs="Arial" w:eastAsia="Arial" w:hAnsi="Arial"/>
                  <w:sz w:val="18"/>
                  <w:szCs w:val="18"/>
                  <w:color w:val="0000EE"/>
                  <w:w w:val="98"/>
                </w:rPr>
                <w:t>Agreement, dated December 16, 2020, by and among Monocle Partners,</w:t>
              </w:r>
            </w:hyperlink>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0" w:type="dxa"/>
            <w:vAlign w:val="bottom"/>
            <w:tcBorders>
              <w:top w:val="single" w:sz="8" w:color="0000EE"/>
            </w:tcBorders>
            <w:gridSpan w:val="6"/>
          </w:tcPr>
          <w:p>
            <w:pPr>
              <w:spacing w:after="0" w:line="196" w:lineRule="exact"/>
              <w:rPr>
                <w:rFonts w:ascii="Arial" w:cs="Arial" w:eastAsia="Arial" w:hAnsi="Arial"/>
                <w:sz w:val="18"/>
                <w:szCs w:val="18"/>
                <w:color w:val="0000EE"/>
                <w:w w:val="94"/>
              </w:rPr>
            </w:pPr>
            <w:hyperlink r:id="rId99">
              <w:r>
                <w:rPr>
                  <w:rFonts w:ascii="Arial" w:cs="Arial" w:eastAsia="Arial" w:hAnsi="Arial"/>
                  <w:sz w:val="18"/>
                  <w:szCs w:val="18"/>
                  <w:color w:val="0000EE"/>
                  <w:w w:val="94"/>
                </w:rPr>
                <w:t>LLC, Cowen Investments II LLC, Monocle Acquisition Corp, Monocle</w:t>
              </w:r>
            </w:hyperlink>
          </w:p>
        </w:tc>
        <w:tc>
          <w:tcPr>
            <w:tcW w:w="540" w:type="dxa"/>
            <w:vAlign w:val="bottom"/>
            <w:gridSpan w:val="11"/>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Holdings Inc. and AerSale Corp.</w:t>
              </w:r>
            </w:hyperlink>
          </w:p>
        </w:tc>
        <w:tc>
          <w:tcPr>
            <w:tcW w:w="2780" w:type="dxa"/>
            <w:vAlign w:val="bottom"/>
            <w:tcBorders>
              <w:top w:val="single" w:sz="8" w:color="0000EE"/>
            </w:tcBorders>
            <w:gridSpan w:val="4"/>
          </w:tcPr>
          <w:p>
            <w:pPr>
              <w:spacing w:after="0"/>
              <w:rPr>
                <w:sz w:val="17"/>
                <w:szCs w:val="17"/>
                <w:color w:val="auto"/>
              </w:rPr>
            </w:pPr>
          </w:p>
        </w:tc>
        <w:tc>
          <w:tcPr>
            <w:tcW w:w="600" w:type="dxa"/>
            <w:vAlign w:val="bottom"/>
            <w:gridSpan w:val="12"/>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740" w:type="dxa"/>
            <w:vAlign w:val="bottom"/>
            <w:gridSpan w:val="17"/>
          </w:tcPr>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Form of Subscription Agreement.</w:t>
              </w:r>
            </w:hyperlink>
          </w:p>
        </w:tc>
        <w:tc>
          <w:tcPr>
            <w:tcW w:w="68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88"/>
              </w:rPr>
              <w:t>001-38801</w:t>
            </w:r>
          </w:p>
        </w:tc>
        <w:tc>
          <w:tcPr>
            <w:tcW w:w="100" w:type="dxa"/>
            <w:vAlign w:val="bottom"/>
          </w:tcPr>
          <w:p>
            <w:pPr>
              <w:spacing w:after="0"/>
              <w:rPr>
                <w:sz w:val="24"/>
                <w:szCs w:val="24"/>
                <w:color w:val="auto"/>
              </w:rPr>
            </w:pPr>
          </w:p>
        </w:tc>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10.1</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12/17/2020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5740" w:type="dxa"/>
            <w:vAlign w:val="bottom"/>
            <w:gridSpan w:val="17"/>
          </w:tcPr>
          <w:p>
            <w:pPr>
              <w:spacing w:after="0"/>
              <w:rPr>
                <w:rFonts w:ascii="Arial" w:cs="Arial" w:eastAsia="Arial" w:hAnsi="Arial"/>
                <w:sz w:val="18"/>
                <w:szCs w:val="18"/>
                <w:color w:val="0000EE"/>
              </w:rPr>
            </w:pPr>
            <w:hyperlink r:id="rId101">
              <w:r>
                <w:rPr>
                  <w:rFonts w:ascii="Arial" w:cs="Arial" w:eastAsia="Arial" w:hAnsi="Arial"/>
                  <w:sz w:val="18"/>
                  <w:szCs w:val="18"/>
                  <w:u w:val="single" w:color="auto"/>
                  <w:color w:val="0000EE"/>
                </w:rPr>
                <w:t>Form of Issuance Agreement</w:t>
              </w:r>
              <w:r>
                <w:rPr>
                  <w:rFonts w:ascii="Arial" w:cs="Arial" w:eastAsia="Arial" w:hAnsi="Arial"/>
                  <w:sz w:val="18"/>
                  <w:szCs w:val="18"/>
                  <w:color w:val="0000EE"/>
                </w:rPr>
                <w:t>.</w:t>
              </w:r>
            </w:hyperlink>
          </w:p>
        </w:tc>
        <w:tc>
          <w:tcPr>
            <w:tcW w:w="68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88"/>
              </w:rPr>
              <w:t>001-38801</w:t>
            </w:r>
          </w:p>
        </w:tc>
        <w:tc>
          <w:tcPr>
            <w:tcW w:w="100" w:type="dxa"/>
            <w:vAlign w:val="bottom"/>
          </w:tcPr>
          <w:p>
            <w:pPr>
              <w:spacing w:after="0"/>
              <w:rPr>
                <w:sz w:val="24"/>
                <w:szCs w:val="24"/>
                <w:color w:val="auto"/>
              </w:rPr>
            </w:pPr>
          </w:p>
        </w:tc>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10.3</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12/17/2020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5740" w:type="dxa"/>
            <w:vAlign w:val="bottom"/>
            <w:gridSpan w:val="17"/>
          </w:tcPr>
          <w:p>
            <w:pPr>
              <w:spacing w:after="0"/>
              <w:rPr>
                <w:rFonts w:ascii="Arial" w:cs="Arial" w:eastAsia="Arial" w:hAnsi="Arial"/>
                <w:sz w:val="18"/>
                <w:szCs w:val="18"/>
                <w:color w:val="0000EE"/>
                <w:w w:val="93"/>
              </w:rPr>
            </w:pPr>
            <w:hyperlink r:id="rId102">
              <w:r>
                <w:rPr>
                  <w:rFonts w:ascii="Arial" w:cs="Arial" w:eastAsia="Arial" w:hAnsi="Arial"/>
                  <w:sz w:val="18"/>
                  <w:szCs w:val="18"/>
                  <w:color w:val="0000EE"/>
                  <w:w w:val="93"/>
                </w:rPr>
                <w:t>Amended and Restated Registration Rights Agreement, dated December 22,</w:t>
              </w:r>
            </w:hyperlink>
          </w:p>
        </w:tc>
        <w:tc>
          <w:tcPr>
            <w:tcW w:w="68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88"/>
              </w:rPr>
              <w:t>001-38801</w:t>
            </w:r>
          </w:p>
        </w:tc>
        <w:tc>
          <w:tcPr>
            <w:tcW w:w="100" w:type="dxa"/>
            <w:vAlign w:val="bottom"/>
          </w:tcPr>
          <w:p>
            <w:pPr>
              <w:spacing w:after="0"/>
              <w:rPr>
                <w:sz w:val="22"/>
                <w:szCs w:val="22"/>
                <w:color w:val="auto"/>
              </w:rPr>
            </w:pPr>
          </w:p>
        </w:tc>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10.7</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12/23/2020</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2020, by and among Monocle Holdings Inc., Monocle Acquisition</w:t>
              </w:r>
            </w:hyperlink>
          </w:p>
        </w:tc>
        <w:tc>
          <w:tcPr>
            <w:tcW w:w="26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Corporation, Monocle Partners, LLC, Cowen Investments II LLC, C. Robert</w:t>
              </w:r>
            </w:hyperlink>
          </w:p>
        </w:tc>
        <w:tc>
          <w:tcPr>
            <w:tcW w:w="22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17"/>
          </w:tcPr>
          <w:p>
            <w:pPr>
              <w:spacing w:after="0" w:line="196" w:lineRule="exact"/>
              <w:rPr>
                <w:rFonts w:ascii="Arial" w:cs="Arial" w:eastAsia="Arial" w:hAnsi="Arial"/>
                <w:sz w:val="18"/>
                <w:szCs w:val="18"/>
                <w:color w:val="0000EE"/>
                <w:w w:val="98"/>
              </w:rPr>
            </w:pPr>
            <w:hyperlink r:id="rId102">
              <w:r>
                <w:rPr>
                  <w:rFonts w:ascii="Arial" w:cs="Arial" w:eastAsia="Arial" w:hAnsi="Arial"/>
                  <w:sz w:val="18"/>
                  <w:szCs w:val="18"/>
                  <w:color w:val="0000EE"/>
                  <w:w w:val="98"/>
                </w:rPr>
                <w:t>Kehler, Donald W. Manvel, John C. Pescatore, Green Equity Investors V,</w:t>
              </w:r>
            </w:hyperlink>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17"/>
          </w:tcPr>
          <w:p>
            <w:pPr>
              <w:spacing w:after="0"/>
              <w:rPr>
                <w:rFonts w:ascii="Arial" w:cs="Arial" w:eastAsia="Arial" w:hAnsi="Arial"/>
                <w:sz w:val="18"/>
                <w:szCs w:val="18"/>
                <w:u w:val="single" w:color="auto"/>
                <w:color w:val="0000EE"/>
                <w:w w:val="95"/>
              </w:rPr>
            </w:pPr>
            <w:hyperlink r:id="rId102">
              <w:r>
                <w:rPr>
                  <w:rFonts w:ascii="Arial" w:cs="Arial" w:eastAsia="Arial" w:hAnsi="Arial"/>
                  <w:sz w:val="18"/>
                  <w:szCs w:val="18"/>
                  <w:u w:val="single" w:color="auto"/>
                  <w:color w:val="0000EE"/>
                  <w:w w:val="95"/>
                </w:rPr>
                <w:t>L.P., Green Equity Investors Side V, L.P., LGP Parts Coinvest LLC., Florida</w:t>
              </w:r>
            </w:hyperlink>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40" w:type="dxa"/>
            <w:vAlign w:val="bottom"/>
            <w:gridSpan w:val="17"/>
          </w:tcPr>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Growth Fund LLC, Enarey, LP and ThoughtValley Limited Partnership.</w:t>
              </w:r>
            </w:hyperlink>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5740" w:type="dxa"/>
            <w:vAlign w:val="bottom"/>
            <w:gridSpan w:val="17"/>
          </w:tcPr>
          <w:p>
            <w:pPr>
              <w:spacing w:after="0"/>
              <w:rPr>
                <w:rFonts w:ascii="Arial" w:cs="Arial" w:eastAsia="Arial" w:hAnsi="Arial"/>
                <w:sz w:val="18"/>
                <w:szCs w:val="18"/>
                <w:color w:val="0000EE"/>
                <w:w w:val="99"/>
              </w:rPr>
            </w:pPr>
            <w:hyperlink r:id="rId103">
              <w:r>
                <w:rPr>
                  <w:rFonts w:ascii="Arial" w:cs="Arial" w:eastAsia="Arial" w:hAnsi="Arial"/>
                  <w:sz w:val="18"/>
                  <w:szCs w:val="18"/>
                  <w:color w:val="0000EE"/>
                  <w:w w:val="99"/>
                </w:rPr>
                <w:t>Lock-Up Agreement, dated December 22, 2020, by and among Monocle</w:t>
              </w:r>
            </w:hyperlink>
          </w:p>
        </w:tc>
        <w:tc>
          <w:tcPr>
            <w:tcW w:w="68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88"/>
              </w:rPr>
              <w:t>001-38801</w:t>
            </w:r>
          </w:p>
        </w:tc>
        <w:tc>
          <w:tcPr>
            <w:tcW w:w="100" w:type="dxa"/>
            <w:vAlign w:val="bottom"/>
          </w:tcPr>
          <w:p>
            <w:pPr>
              <w:spacing w:after="0"/>
              <w:rPr>
                <w:sz w:val="22"/>
                <w:szCs w:val="22"/>
                <w:color w:val="auto"/>
              </w:rPr>
            </w:pPr>
          </w:p>
        </w:tc>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10.8</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12/23/2020</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Holdings Inc., Green Equity Investors V, L.P., Green Equity Investors Side V,</w:t>
              </w:r>
            </w:hyperlink>
          </w:p>
        </w:tc>
        <w:tc>
          <w:tcPr>
            <w:tcW w:w="16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L.P., LGP Parts Coinvest LLC., Florida Growth Fund LLC, Enarey, LP and</w:t>
              </w:r>
            </w:hyperlink>
          </w:p>
        </w:tc>
        <w:tc>
          <w:tcPr>
            <w:tcW w:w="32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17"/>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ThoughtValley Limited Partnership.</w:t>
              </w:r>
            </w:hyperlink>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709"/>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top w:val="single" w:sz="8" w:color="0000EE"/>
              <w:bottom w:val="single" w:sz="8" w:color="auto"/>
            </w:tcBorders>
            <w:gridSpan w:val="2"/>
          </w:tcPr>
          <w:p>
            <w:pPr>
              <w:spacing w:after="0"/>
              <w:rPr>
                <w:sz w:val="24"/>
                <w:szCs w:val="24"/>
                <w:color w:val="auto"/>
              </w:rPr>
            </w:pPr>
          </w:p>
        </w:tc>
        <w:tc>
          <w:tcPr>
            <w:tcW w:w="2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88</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5" w:right="3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Number</w:t>
            </w:r>
          </w:p>
        </w:tc>
        <w:tc>
          <w:tcPr>
            <w:tcW w:w="5400" w:type="dxa"/>
            <w:vAlign w:val="bottom"/>
            <w:gridSpan w:val="16"/>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40"/>
        </w:trPr>
        <w:tc>
          <w:tcPr>
            <w:tcW w:w="8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5400" w:type="dxa"/>
            <w:vAlign w:val="bottom"/>
            <w:gridSpan w:val="16"/>
          </w:tcPr>
          <w:p>
            <w:pPr>
              <w:spacing w:after="0"/>
              <w:rPr>
                <w:rFonts w:ascii="Arial" w:cs="Arial" w:eastAsia="Arial" w:hAnsi="Arial"/>
                <w:sz w:val="18"/>
                <w:szCs w:val="18"/>
                <w:color w:val="0000EE"/>
                <w:w w:val="94"/>
              </w:rPr>
            </w:pPr>
            <w:hyperlink r:id="rId104">
              <w:r>
                <w:rPr>
                  <w:rFonts w:ascii="Arial" w:cs="Arial" w:eastAsia="Arial" w:hAnsi="Arial"/>
                  <w:sz w:val="18"/>
                  <w:szCs w:val="18"/>
                  <w:color w:val="0000EE"/>
                  <w:w w:val="94"/>
                </w:rPr>
                <w:t>Assignment and Assumption Agreement, dated December 22, 2020, by</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and among Monocle Holdings Inc., Monocle Acquisition Corporation and</w:t>
              </w:r>
            </w:hyperlink>
          </w:p>
        </w:tc>
        <w:tc>
          <w:tcPr>
            <w:tcW w:w="6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Continental Stock Transfer &amp; Trust Company.</w:t>
              </w:r>
            </w:hyperlink>
          </w:p>
        </w:tc>
        <w:tc>
          <w:tcPr>
            <w:tcW w:w="2080" w:type="dxa"/>
            <w:vAlign w:val="bottom"/>
            <w:gridSpan w:val="13"/>
          </w:tcPr>
          <w:p>
            <w:pPr>
              <w:spacing w:after="0"/>
              <w:rPr>
                <w:sz w:val="17"/>
                <w:szCs w:val="17"/>
                <w:color w:val="auto"/>
              </w:rPr>
            </w:pP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color w:val="0000EE"/>
                <w:w w:val="94"/>
              </w:rPr>
            </w:pPr>
            <w:hyperlink r:id="rId105">
              <w:r>
                <w:rPr>
                  <w:rFonts w:ascii="Arial" w:cs="Arial" w:eastAsia="Arial" w:hAnsi="Arial"/>
                  <w:sz w:val="18"/>
                  <w:szCs w:val="18"/>
                  <w:color w:val="0000EE"/>
                  <w:w w:val="94"/>
                </w:rPr>
                <w:t>Company Support and Mutual Release Agreement, dated September 8,</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0" w:type="dxa"/>
            <w:vAlign w:val="bottom"/>
            <w:gridSpan w:val="16"/>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2020, by and among Monocle Acquisition Corporation, Monocle Holdings</w:t>
              </w:r>
            </w:hyperlink>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Inc., Green Equity Investors V, L.P., Green Equity Investors Side V, L.P.,</w:t>
              </w:r>
            </w:hyperlink>
          </w:p>
        </w:tc>
        <w:tc>
          <w:tcPr>
            <w:tcW w:w="1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0" w:type="dxa"/>
            <w:vAlign w:val="bottom"/>
            <w:gridSpan w:val="16"/>
          </w:tcPr>
          <w:p>
            <w:pPr>
              <w:spacing w:after="0"/>
              <w:rPr>
                <w:rFonts w:ascii="Arial" w:cs="Arial" w:eastAsia="Arial" w:hAnsi="Arial"/>
                <w:sz w:val="18"/>
                <w:szCs w:val="18"/>
                <w:u w:val="single" w:color="auto"/>
                <w:color w:val="0000EE"/>
                <w:w w:val="98"/>
              </w:rPr>
            </w:pPr>
            <w:hyperlink r:id="rId105">
              <w:r>
                <w:rPr>
                  <w:rFonts w:ascii="Arial" w:cs="Arial" w:eastAsia="Arial" w:hAnsi="Arial"/>
                  <w:sz w:val="18"/>
                  <w:szCs w:val="18"/>
                  <w:u w:val="single" w:color="auto"/>
                  <w:color w:val="0000EE"/>
                  <w:w w:val="98"/>
                </w:rPr>
                <w:t>LGP Parts Coinvest LLC., Florida Growth Fund LLC, Enarey, LP and</w:t>
              </w:r>
            </w:hyperlink>
          </w:p>
        </w:tc>
      </w:tr>
      <w:tr>
        <w:trPr>
          <w:trHeight w:val="23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0" w:type="dxa"/>
            <w:vAlign w:val="bottom"/>
            <w:gridSpan w:val="16"/>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ThoughtValley Limited Partnership.</w:t>
              </w:r>
            </w:hyperlink>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Executive Offer Letter between AerSale Inc. and Nicolas Finazzo</w:t>
              </w:r>
            </w:hyperlink>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Executive Offer Letter between AerSale Inc. and Robert B. Nichols</w:t>
              </w:r>
            </w:hyperlink>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Executive Offer Letter between AerSale Inc. and Martin Garmendia</w:t>
              </w:r>
            </w:hyperlink>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Executive Offer Letter between AerSale Inc. and Basil Barimo</w:t>
              </w:r>
            </w:hyperlink>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Executive Offer Letter between AerSale Inc. and Gary Jones</w:t>
              </w:r>
            </w:hyperlink>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Executive Offer Letter between AerSale Inc. and Iso Nezaj</w:t>
              </w:r>
            </w:hyperlink>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Executive Offer Letter between AerSale Inc. and Craig Wright</w:t>
              </w:r>
            </w:hyperlink>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u w:val="single" w:color="auto"/>
                <w:color w:val="0000EE"/>
                <w:w w:val="95"/>
              </w:rPr>
            </w:pPr>
            <w:hyperlink r:id="rId106">
              <w:r>
                <w:rPr>
                  <w:rFonts w:ascii="Arial" w:cs="Arial" w:eastAsia="Arial" w:hAnsi="Arial"/>
                  <w:sz w:val="18"/>
                  <w:szCs w:val="18"/>
                  <w:u w:val="single" w:color="auto"/>
                  <w:color w:val="0000EE"/>
                  <w:w w:val="95"/>
                </w:rPr>
                <w:t>Amended and Restated AerSale Corp. Stock Appreciation Rights Plan.</w:t>
              </w:r>
            </w:hyperlink>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AerSale Corporation Severance Plan.</w:t>
              </w:r>
            </w:hyperlink>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AerSale Corporation 2020 Equity Incentive Plan.</w:t>
              </w:r>
            </w:hyperlink>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2"/>
                <w:szCs w:val="22"/>
                <w:color w:val="auto"/>
              </w:rPr>
            </w:pPr>
          </w:p>
        </w:tc>
        <w:tc>
          <w:tcPr>
            <w:tcW w:w="5200" w:type="dxa"/>
            <w:vAlign w:val="bottom"/>
            <w:tcBorders>
              <w:bottom w:val="single" w:sz="8" w:color="0000EE"/>
            </w:tcBorders>
            <w:gridSpan w:val="12"/>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Forms of award agreements under the AerSale Corporation 2020 Equity</w:t>
              </w:r>
            </w:hyperlink>
          </w:p>
        </w:tc>
        <w:tc>
          <w:tcPr>
            <w:tcW w:w="200" w:type="dxa"/>
            <w:vAlign w:val="bottom"/>
            <w:gridSpan w:val="4"/>
          </w:tcPr>
          <w:p>
            <w:pPr>
              <w:spacing w:after="0"/>
              <w:rPr>
                <w:sz w:val="22"/>
                <w:szCs w:val="22"/>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0" w:type="dxa"/>
            <w:vAlign w:val="bottom"/>
            <w:gridSpan w:val="16"/>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Incentive Plan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AerSale Corporation 2020 Employee Stock Purchase Plan.</w:t>
              </w:r>
            </w:hyperlink>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2"/>
                <w:szCs w:val="22"/>
                <w:color w:val="auto"/>
              </w:rPr>
            </w:pPr>
          </w:p>
        </w:tc>
        <w:tc>
          <w:tcPr>
            <w:tcW w:w="5400" w:type="dxa"/>
            <w:vAlign w:val="bottom"/>
            <w:gridSpan w:val="16"/>
          </w:tcPr>
          <w:p>
            <w:pPr>
              <w:spacing w:after="0"/>
              <w:rPr>
                <w:rFonts w:ascii="Arial" w:cs="Arial" w:eastAsia="Arial" w:hAnsi="Arial"/>
                <w:sz w:val="18"/>
                <w:szCs w:val="18"/>
                <w:color w:val="0000EE"/>
                <w:w w:val="93"/>
              </w:rPr>
            </w:pPr>
            <w:hyperlink w:anchor="page120">
              <w:r>
                <w:rPr>
                  <w:rFonts w:ascii="Arial" w:cs="Arial" w:eastAsia="Arial" w:hAnsi="Arial"/>
                  <w:sz w:val="18"/>
                  <w:szCs w:val="18"/>
                  <w:color w:val="0000EE"/>
                  <w:w w:val="93"/>
                </w:rPr>
                <w:t>Amended and Restated Credit Agreement, dated as of July 20, 2018, by</w:t>
              </w:r>
            </w:hyperlink>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and among Aersale Aviation Inc., the existing borrowers thereto, the</w:t>
              </w:r>
            </w:hyperlink>
          </w:p>
        </w:tc>
        <w:tc>
          <w:tcPr>
            <w:tcW w:w="240" w:type="dxa"/>
            <w:vAlign w:val="bottom"/>
            <w:tcBorders>
              <w:top w:val="single" w:sz="8" w:color="0000EE"/>
            </w:tcBorders>
            <w:gridSpan w:val="3"/>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0" w:type="dxa"/>
            <w:vAlign w:val="bottom"/>
            <w:gridSpan w:val="16"/>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lenders thereto and Wells Fargo Bank, National Association, as</w:t>
              </w:r>
            </w:hyperlink>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20">
              <w:r>
                <w:rPr>
                  <w:rFonts w:ascii="Arial" w:cs="Arial" w:eastAsia="Arial" w:hAnsi="Arial"/>
                  <w:sz w:val="18"/>
                  <w:szCs w:val="18"/>
                  <w:color w:val="0000EE"/>
                  <w:w w:val="88"/>
                </w:rPr>
                <w:t>administrative agent and lender.</w:t>
              </w:r>
            </w:hyperlink>
          </w:p>
        </w:tc>
        <w:tc>
          <w:tcPr>
            <w:tcW w:w="2240" w:type="dxa"/>
            <w:vAlign w:val="bottom"/>
            <w:tcBorders>
              <w:top w:val="single" w:sz="8" w:color="0000EE"/>
            </w:tcBorders>
            <w:gridSpan w:val="3"/>
          </w:tcPr>
          <w:p>
            <w:pPr>
              <w:spacing w:after="0"/>
              <w:rPr>
                <w:sz w:val="17"/>
                <w:szCs w:val="17"/>
                <w:color w:val="auto"/>
              </w:rPr>
            </w:pPr>
          </w:p>
        </w:tc>
        <w:tc>
          <w:tcPr>
            <w:tcW w:w="860" w:type="dxa"/>
            <w:vAlign w:val="bottom"/>
            <w:gridSpan w:val="11"/>
          </w:tcPr>
          <w:p>
            <w:pPr>
              <w:spacing w:after="0"/>
              <w:rPr>
                <w:sz w:val="17"/>
                <w:szCs w:val="17"/>
                <w:color w:val="auto"/>
              </w:rPr>
            </w:pP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color w:val="0000EE"/>
                <w:w w:val="92"/>
              </w:rPr>
            </w:pPr>
            <w:hyperlink w:anchor="page268">
              <w:r>
                <w:rPr>
                  <w:rFonts w:ascii="Arial" w:cs="Arial" w:eastAsia="Arial" w:hAnsi="Arial"/>
                  <w:sz w:val="18"/>
                  <w:szCs w:val="18"/>
                  <w:color w:val="0000EE"/>
                  <w:w w:val="92"/>
                </w:rPr>
                <w:t>Amendment No. 1 to Amended and Restated Credit Agreement, dated as</w:t>
              </w:r>
            </w:hyperlink>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40" w:type="dxa"/>
            <w:vAlign w:val="bottom"/>
            <w:tcBorders>
              <w:top w:val="single" w:sz="8" w:color="0000EE"/>
            </w:tcBorders>
            <w:gridSpan w:val="13"/>
          </w:tcPr>
          <w:p>
            <w:pPr>
              <w:spacing w:after="0" w:line="196" w:lineRule="exact"/>
              <w:rPr>
                <w:rFonts w:ascii="Arial" w:cs="Arial" w:eastAsia="Arial" w:hAnsi="Arial"/>
                <w:sz w:val="18"/>
                <w:szCs w:val="18"/>
                <w:color w:val="0000EE"/>
                <w:w w:val="91"/>
              </w:rPr>
            </w:pPr>
            <w:hyperlink w:anchor="page268">
              <w:r>
                <w:rPr>
                  <w:rFonts w:ascii="Arial" w:cs="Arial" w:eastAsia="Arial" w:hAnsi="Arial"/>
                  <w:sz w:val="18"/>
                  <w:szCs w:val="18"/>
                  <w:color w:val="0000EE"/>
                  <w:w w:val="91"/>
                </w:rPr>
                <w:t>of September 8, 2020, by and among AerSale Aviation Inc., the existing</w:t>
              </w:r>
            </w:hyperlink>
          </w:p>
        </w:tc>
        <w:tc>
          <w:tcPr>
            <w:tcW w:w="16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268">
              <w:r>
                <w:rPr>
                  <w:rFonts w:ascii="Arial" w:cs="Arial" w:eastAsia="Arial" w:hAnsi="Arial"/>
                  <w:sz w:val="18"/>
                  <w:szCs w:val="18"/>
                  <w:color w:val="0000EE"/>
                  <w:w w:val="90"/>
                </w:rPr>
                <w:t>borrowers thereto, the lenders thereto and Wells Fargo Bank, National</w:t>
              </w:r>
            </w:hyperlink>
          </w:p>
        </w:tc>
        <w:tc>
          <w:tcPr>
            <w:tcW w:w="80" w:type="dxa"/>
            <w:vAlign w:val="bottom"/>
            <w:tcBorders>
              <w:top w:val="single" w:sz="8" w:color="0000EE"/>
            </w:tcBorders>
            <w:gridSpan w:val="2"/>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0" w:type="dxa"/>
            <w:vAlign w:val="bottom"/>
            <w:gridSpan w:val="16"/>
          </w:tcPr>
          <w:p>
            <w:pPr>
              <w:spacing w:after="0" w:line="196" w:lineRule="exact"/>
              <w:rPr>
                <w:rFonts w:ascii="Arial" w:cs="Arial" w:eastAsia="Arial" w:hAnsi="Arial"/>
                <w:sz w:val="18"/>
                <w:szCs w:val="18"/>
                <w:color w:val="0000EE"/>
              </w:rPr>
            </w:pPr>
            <w:hyperlink w:anchor="page268">
              <w:r>
                <w:rPr>
                  <w:rFonts w:ascii="Arial" w:cs="Arial" w:eastAsia="Arial" w:hAnsi="Arial"/>
                  <w:sz w:val="18"/>
                  <w:szCs w:val="18"/>
                  <w:color w:val="0000EE"/>
                </w:rPr>
                <w:t>Association, as administrative agent and lender.</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color w:val="0000EE"/>
                <w:w w:val="92"/>
              </w:rPr>
            </w:pPr>
            <w:hyperlink w:anchor="page285">
              <w:r>
                <w:rPr>
                  <w:rFonts w:ascii="Arial" w:cs="Arial" w:eastAsia="Arial" w:hAnsi="Arial"/>
                  <w:sz w:val="18"/>
                  <w:szCs w:val="18"/>
                  <w:color w:val="0000EE"/>
                  <w:w w:val="92"/>
                </w:rPr>
                <w:t>Amendment No. 2 to Amended and Restated Credit Agreement, dated as</w:t>
              </w:r>
            </w:hyperlink>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285">
              <w:r>
                <w:rPr>
                  <w:rFonts w:ascii="Arial" w:cs="Arial" w:eastAsia="Arial" w:hAnsi="Arial"/>
                  <w:sz w:val="18"/>
                  <w:szCs w:val="18"/>
                  <w:color w:val="0000EE"/>
                  <w:w w:val="91"/>
                </w:rPr>
                <w:t>of March 12, 2021, by and among AerSale Aviation Inc., the existing</w:t>
              </w:r>
            </w:hyperlink>
          </w:p>
        </w:tc>
        <w:tc>
          <w:tcPr>
            <w:tcW w:w="260" w:type="dxa"/>
            <w:vAlign w:val="bottom"/>
            <w:tcBorders>
              <w:top w:val="single" w:sz="8" w:color="0000EE"/>
            </w:tcBorders>
            <w:gridSpan w:val="5"/>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85">
              <w:r>
                <w:rPr>
                  <w:rFonts w:ascii="Arial" w:cs="Arial" w:eastAsia="Arial" w:hAnsi="Arial"/>
                  <w:sz w:val="18"/>
                  <w:szCs w:val="18"/>
                  <w:color w:val="0000EE"/>
                  <w:w w:val="89"/>
                </w:rPr>
                <w:t>borrowers thereto, the lenders thereto, Wells Fargo Bank, National</w:t>
              </w:r>
            </w:hyperlink>
          </w:p>
        </w:tc>
        <w:tc>
          <w:tcPr>
            <w:tcW w:w="620" w:type="dxa"/>
            <w:vAlign w:val="bottom"/>
            <w:gridSpan w:val="10"/>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85">
              <w:r>
                <w:rPr>
                  <w:rFonts w:ascii="Arial" w:cs="Arial" w:eastAsia="Arial" w:hAnsi="Arial"/>
                  <w:sz w:val="18"/>
                  <w:szCs w:val="18"/>
                  <w:color w:val="0000EE"/>
                  <w:w w:val="90"/>
                </w:rPr>
                <w:t>Association, as administrative agent and lender, AerSale Ireland 1 Limited,</w:t>
              </w:r>
            </w:hyperlink>
          </w:p>
        </w:tc>
      </w:tr>
      <w:tr>
        <w:trPr>
          <w:trHeight w:val="222"/>
        </w:trPr>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0" w:type="dxa"/>
            <w:vAlign w:val="bottom"/>
            <w:gridSpan w:val="16"/>
          </w:tcPr>
          <w:p>
            <w:pPr>
              <w:spacing w:after="0"/>
              <w:rPr>
                <w:rFonts w:ascii="Arial" w:cs="Arial" w:eastAsia="Arial" w:hAnsi="Arial"/>
                <w:sz w:val="18"/>
                <w:szCs w:val="18"/>
                <w:u w:val="single" w:color="auto"/>
                <w:color w:val="0000EE"/>
                <w:w w:val="94"/>
              </w:rPr>
            </w:pPr>
            <w:hyperlink w:anchor="page285">
              <w:r>
                <w:rPr>
                  <w:rFonts w:ascii="Arial" w:cs="Arial" w:eastAsia="Arial" w:hAnsi="Arial"/>
                  <w:sz w:val="18"/>
                  <w:szCs w:val="18"/>
                  <w:u w:val="single" w:color="auto"/>
                  <w:color w:val="0000EE"/>
                  <w:w w:val="94"/>
                </w:rPr>
                <w:t>as new borrower and AerSale Corporation and Monocle Parent LLC, as</w:t>
              </w:r>
            </w:hyperlink>
          </w:p>
        </w:tc>
      </w:tr>
      <w:tr>
        <w:trPr>
          <w:trHeight w:val="23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0" w:type="dxa"/>
            <w:vAlign w:val="bottom"/>
            <w:gridSpan w:val="16"/>
          </w:tcPr>
          <w:p>
            <w:pPr>
              <w:spacing w:after="0"/>
              <w:rPr>
                <w:rFonts w:ascii="Arial" w:cs="Arial" w:eastAsia="Arial" w:hAnsi="Arial"/>
                <w:sz w:val="18"/>
                <w:szCs w:val="18"/>
                <w:u w:val="single" w:color="auto"/>
                <w:color w:val="0000EE"/>
              </w:rPr>
            </w:pPr>
            <w:hyperlink w:anchor="page285">
              <w:r>
                <w:rPr>
                  <w:rFonts w:ascii="Arial" w:cs="Arial" w:eastAsia="Arial" w:hAnsi="Arial"/>
                  <w:sz w:val="18"/>
                  <w:szCs w:val="18"/>
                  <w:u w:val="single" w:color="auto"/>
                  <w:color w:val="0000EE"/>
                </w:rPr>
                <w:t>guarantors.</w:t>
              </w:r>
            </w:hyperlink>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u w:val="single" w:color="auto"/>
                <w:color w:val="0000EE"/>
              </w:rPr>
            </w:pPr>
            <w:hyperlink w:anchor="page311">
              <w:r>
                <w:rPr>
                  <w:rFonts w:ascii="Arial" w:cs="Arial" w:eastAsia="Arial" w:hAnsi="Arial"/>
                  <w:sz w:val="18"/>
                  <w:szCs w:val="18"/>
                  <w:u w:val="single" w:color="auto"/>
                  <w:color w:val="0000EE"/>
                </w:rPr>
                <w:t>List of Subsidiaries.</w:t>
              </w:r>
            </w:hyperlink>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u w:val="single" w:color="auto"/>
                <w:color w:val="0000EE"/>
              </w:rPr>
            </w:pPr>
            <w:hyperlink w:anchor="page312">
              <w:r>
                <w:rPr>
                  <w:rFonts w:ascii="Arial" w:cs="Arial" w:eastAsia="Arial" w:hAnsi="Arial"/>
                  <w:sz w:val="18"/>
                  <w:szCs w:val="18"/>
                  <w:u w:val="single" w:color="auto"/>
                  <w:color w:val="0000EE"/>
                </w:rPr>
                <w:t>Consent of Grant Thornton LLP.</w:t>
              </w:r>
            </w:hyperlink>
          </w:p>
        </w:tc>
      </w:tr>
      <w:tr>
        <w:trPr>
          <w:trHeight w:val="715"/>
        </w:trPr>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6"/>
          </w:tcPr>
          <w:p>
            <w:pPr>
              <w:ind w:left="448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Filing</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Form</w:t>
            </w: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File No.</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9"/>
              </w:rPr>
              <w:t>Exhibit</w:t>
            </w:r>
          </w:p>
        </w:tc>
        <w:tc>
          <w:tcPr>
            <w:tcW w:w="14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Date</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r>
      <w:tr>
        <w:trPr>
          <w:trHeight w:val="40"/>
        </w:trPr>
        <w:tc>
          <w:tcPr>
            <w:tcW w:w="5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50"/>
        </w:trPr>
        <w:tc>
          <w:tcPr>
            <w:tcW w:w="700" w:type="dxa"/>
            <w:vAlign w:val="bottom"/>
            <w:gridSpan w:val="2"/>
          </w:tcPr>
          <w:p>
            <w:pPr>
              <w:spacing w:after="0"/>
              <w:rPr>
                <w:sz w:val="20"/>
                <w:szCs w:val="20"/>
                <w:color w:val="auto"/>
              </w:rPr>
            </w:pPr>
            <w:r>
              <w:rPr>
                <w:rFonts w:ascii="Arial" w:cs="Arial" w:eastAsia="Arial" w:hAnsi="Arial"/>
                <w:sz w:val="18"/>
                <w:szCs w:val="18"/>
                <w:color w:val="auto"/>
              </w:rPr>
              <w:t>8-K</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88"/>
              </w:rPr>
              <w:t>001-38801</w:t>
            </w:r>
          </w:p>
        </w:tc>
        <w:tc>
          <w:tcPr>
            <w:tcW w:w="140" w:type="dxa"/>
            <w:vAlign w:val="bottom"/>
          </w:tcPr>
          <w:p>
            <w:pPr>
              <w:spacing w:after="0"/>
              <w:rPr>
                <w:sz w:val="21"/>
                <w:szCs w:val="21"/>
                <w:color w:val="auto"/>
              </w:rPr>
            </w:pPr>
          </w:p>
        </w:tc>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10.9</w:t>
            </w:r>
          </w:p>
        </w:tc>
        <w:tc>
          <w:tcPr>
            <w:tcW w:w="1260" w:type="dxa"/>
            <w:vAlign w:val="bottom"/>
            <w:gridSpan w:val="2"/>
          </w:tcPr>
          <w:p>
            <w:pPr>
              <w:jc w:val="right"/>
              <w:ind w:right="210"/>
              <w:spacing w:after="0"/>
              <w:rPr>
                <w:sz w:val="20"/>
                <w:szCs w:val="20"/>
                <w:color w:val="auto"/>
              </w:rPr>
            </w:pPr>
            <w:r>
              <w:rPr>
                <w:rFonts w:ascii="Arial" w:cs="Arial" w:eastAsia="Arial" w:hAnsi="Arial"/>
                <w:sz w:val="18"/>
                <w:szCs w:val="18"/>
                <w:color w:val="auto"/>
              </w:rPr>
              <w:t>12/23/2020</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729"/>
        </w:trPr>
        <w:tc>
          <w:tcPr>
            <w:tcW w:w="700" w:type="dxa"/>
            <w:vAlign w:val="bottom"/>
            <w:gridSpan w:val="2"/>
          </w:tcPr>
          <w:p>
            <w:pPr>
              <w:spacing w:after="0"/>
              <w:rPr>
                <w:sz w:val="20"/>
                <w:szCs w:val="20"/>
                <w:color w:val="auto"/>
              </w:rPr>
            </w:pPr>
            <w:r>
              <w:rPr>
                <w:rFonts w:ascii="Arial" w:cs="Arial" w:eastAsia="Arial" w:hAnsi="Arial"/>
                <w:sz w:val="18"/>
                <w:szCs w:val="18"/>
                <w:color w:val="auto"/>
              </w:rPr>
              <w:t>8-K</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88"/>
              </w:rPr>
              <w:t>001-38801</w:t>
            </w:r>
          </w:p>
        </w:tc>
        <w:tc>
          <w:tcPr>
            <w:tcW w:w="140" w:type="dxa"/>
            <w:vAlign w:val="bottom"/>
          </w:tcPr>
          <w:p>
            <w:pPr>
              <w:spacing w:after="0"/>
              <w:rPr>
                <w:sz w:val="24"/>
                <w:szCs w:val="24"/>
                <w:color w:val="auto"/>
              </w:rPr>
            </w:pPr>
          </w:p>
        </w:tc>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10.2</w:t>
            </w:r>
          </w:p>
        </w:tc>
        <w:tc>
          <w:tcPr>
            <w:tcW w:w="1260" w:type="dxa"/>
            <w:vAlign w:val="bottom"/>
            <w:gridSpan w:val="2"/>
          </w:tcPr>
          <w:p>
            <w:pPr>
              <w:jc w:val="right"/>
              <w:ind w:right="210"/>
              <w:spacing w:after="0"/>
              <w:rPr>
                <w:sz w:val="20"/>
                <w:szCs w:val="20"/>
                <w:color w:val="auto"/>
              </w:rPr>
            </w:pPr>
            <w:r>
              <w:rPr>
                <w:rFonts w:ascii="Arial" w:cs="Arial" w:eastAsia="Arial" w:hAnsi="Arial"/>
                <w:sz w:val="18"/>
                <w:szCs w:val="18"/>
                <w:color w:val="auto"/>
              </w:rPr>
              <w:t>09/08/2020</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S-4/A</w:t>
            </w:r>
          </w:p>
        </w:tc>
        <w:tc>
          <w:tcPr>
            <w:tcW w:w="1080" w:type="dxa"/>
            <w:vAlign w:val="bottom"/>
          </w:tcPr>
          <w:p>
            <w:pPr>
              <w:jc w:val="right"/>
              <w:spacing w:after="0"/>
              <w:rPr>
                <w:sz w:val="20"/>
                <w:szCs w:val="20"/>
                <w:color w:val="auto"/>
              </w:rPr>
            </w:pPr>
            <w:r>
              <w:rPr>
                <w:rFonts w:ascii="Arial" w:cs="Arial" w:eastAsia="Arial" w:hAnsi="Arial"/>
                <w:sz w:val="18"/>
                <w:szCs w:val="18"/>
                <w:color w:val="auto"/>
              </w:rPr>
              <w:t>333-235766</w:t>
            </w:r>
          </w:p>
        </w:tc>
        <w:tc>
          <w:tcPr>
            <w:tcW w:w="700" w:type="dxa"/>
            <w:vAlign w:val="bottom"/>
          </w:tcPr>
          <w:p>
            <w:pPr>
              <w:ind w:left="80"/>
              <w:spacing w:after="0"/>
              <w:rPr>
                <w:sz w:val="20"/>
                <w:szCs w:val="20"/>
                <w:color w:val="auto"/>
              </w:rPr>
            </w:pPr>
            <w:r>
              <w:rPr>
                <w:rFonts w:ascii="Arial" w:cs="Arial" w:eastAsia="Arial" w:hAnsi="Arial"/>
                <w:sz w:val="18"/>
                <w:szCs w:val="18"/>
                <w:color w:val="auto"/>
              </w:rPr>
              <w:t>10.8</w:t>
            </w:r>
          </w:p>
        </w:tc>
        <w:tc>
          <w:tcPr>
            <w:tcW w:w="1020" w:type="dxa"/>
            <w:vAlign w:val="bottom"/>
          </w:tcPr>
          <w:p>
            <w:pPr>
              <w:jc w:val="right"/>
              <w:spacing w:after="0"/>
              <w:rPr>
                <w:sz w:val="20"/>
                <w:szCs w:val="20"/>
                <w:color w:val="auto"/>
              </w:rPr>
            </w:pPr>
            <w:r>
              <w:rPr>
                <w:rFonts w:ascii="Arial" w:cs="Arial" w:eastAsia="Arial" w:hAnsi="Arial"/>
                <w:sz w:val="18"/>
                <w:szCs w:val="18"/>
                <w:color w:val="auto"/>
              </w:rPr>
              <w:t>02/14/2020</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S-4/A</w:t>
            </w:r>
          </w:p>
        </w:tc>
        <w:tc>
          <w:tcPr>
            <w:tcW w:w="1080" w:type="dxa"/>
            <w:vAlign w:val="bottom"/>
          </w:tcPr>
          <w:p>
            <w:pPr>
              <w:jc w:val="right"/>
              <w:spacing w:after="0"/>
              <w:rPr>
                <w:sz w:val="20"/>
                <w:szCs w:val="20"/>
                <w:color w:val="auto"/>
              </w:rPr>
            </w:pPr>
            <w:r>
              <w:rPr>
                <w:rFonts w:ascii="Arial" w:cs="Arial" w:eastAsia="Arial" w:hAnsi="Arial"/>
                <w:sz w:val="18"/>
                <w:szCs w:val="18"/>
                <w:color w:val="auto"/>
              </w:rPr>
              <w:t>333-235766</w:t>
            </w:r>
          </w:p>
        </w:tc>
        <w:tc>
          <w:tcPr>
            <w:tcW w:w="700" w:type="dxa"/>
            <w:vAlign w:val="bottom"/>
          </w:tcPr>
          <w:p>
            <w:pPr>
              <w:ind w:left="80"/>
              <w:spacing w:after="0"/>
              <w:rPr>
                <w:sz w:val="20"/>
                <w:szCs w:val="20"/>
                <w:color w:val="auto"/>
              </w:rPr>
            </w:pPr>
            <w:r>
              <w:rPr>
                <w:rFonts w:ascii="Arial" w:cs="Arial" w:eastAsia="Arial" w:hAnsi="Arial"/>
                <w:sz w:val="18"/>
                <w:szCs w:val="18"/>
                <w:color w:val="auto"/>
              </w:rPr>
              <w:t>10.9</w:t>
            </w:r>
          </w:p>
        </w:tc>
        <w:tc>
          <w:tcPr>
            <w:tcW w:w="1020" w:type="dxa"/>
            <w:vAlign w:val="bottom"/>
          </w:tcPr>
          <w:p>
            <w:pPr>
              <w:jc w:val="right"/>
              <w:spacing w:after="0"/>
              <w:rPr>
                <w:sz w:val="20"/>
                <w:szCs w:val="20"/>
                <w:color w:val="auto"/>
              </w:rPr>
            </w:pPr>
            <w:r>
              <w:rPr>
                <w:rFonts w:ascii="Arial" w:cs="Arial" w:eastAsia="Arial" w:hAnsi="Arial"/>
                <w:sz w:val="18"/>
                <w:szCs w:val="18"/>
                <w:color w:val="auto"/>
              </w:rPr>
              <w:t>02/14/2020</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S-4/A</w:t>
            </w:r>
          </w:p>
        </w:tc>
        <w:tc>
          <w:tcPr>
            <w:tcW w:w="1080" w:type="dxa"/>
            <w:vAlign w:val="bottom"/>
          </w:tcPr>
          <w:p>
            <w:pPr>
              <w:jc w:val="right"/>
              <w:spacing w:after="0"/>
              <w:rPr>
                <w:sz w:val="20"/>
                <w:szCs w:val="20"/>
                <w:color w:val="auto"/>
              </w:rPr>
            </w:pPr>
            <w:r>
              <w:rPr>
                <w:rFonts w:ascii="Arial" w:cs="Arial" w:eastAsia="Arial" w:hAnsi="Arial"/>
                <w:sz w:val="18"/>
                <w:szCs w:val="18"/>
                <w:color w:val="auto"/>
              </w:rPr>
              <w:t>333-235766</w:t>
            </w:r>
          </w:p>
        </w:tc>
        <w:tc>
          <w:tcPr>
            <w:tcW w:w="700" w:type="dxa"/>
            <w:vAlign w:val="bottom"/>
          </w:tcPr>
          <w:p>
            <w:pPr>
              <w:ind w:left="80"/>
              <w:spacing w:after="0"/>
              <w:rPr>
                <w:sz w:val="20"/>
                <w:szCs w:val="20"/>
                <w:color w:val="auto"/>
              </w:rPr>
            </w:pPr>
            <w:r>
              <w:rPr>
                <w:rFonts w:ascii="Arial" w:cs="Arial" w:eastAsia="Arial" w:hAnsi="Arial"/>
                <w:sz w:val="18"/>
                <w:szCs w:val="18"/>
                <w:color w:val="auto"/>
              </w:rPr>
              <w:t>10.1</w:t>
            </w:r>
          </w:p>
        </w:tc>
        <w:tc>
          <w:tcPr>
            <w:tcW w:w="1020" w:type="dxa"/>
            <w:vAlign w:val="bottom"/>
          </w:tcPr>
          <w:p>
            <w:pPr>
              <w:jc w:val="right"/>
              <w:spacing w:after="0"/>
              <w:rPr>
                <w:sz w:val="20"/>
                <w:szCs w:val="20"/>
                <w:color w:val="auto"/>
              </w:rPr>
            </w:pPr>
            <w:r>
              <w:rPr>
                <w:rFonts w:ascii="Arial" w:cs="Arial" w:eastAsia="Arial" w:hAnsi="Arial"/>
                <w:sz w:val="18"/>
                <w:szCs w:val="18"/>
                <w:color w:val="auto"/>
              </w:rPr>
              <w:t>10/14/2020</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S-8</w:t>
            </w:r>
          </w:p>
        </w:tc>
        <w:tc>
          <w:tcPr>
            <w:tcW w:w="1080" w:type="dxa"/>
            <w:vAlign w:val="bottom"/>
          </w:tcPr>
          <w:p>
            <w:pPr>
              <w:jc w:val="right"/>
              <w:spacing w:after="0"/>
              <w:rPr>
                <w:sz w:val="20"/>
                <w:szCs w:val="20"/>
                <w:color w:val="auto"/>
              </w:rPr>
            </w:pPr>
            <w:r>
              <w:rPr>
                <w:rFonts w:ascii="Arial" w:cs="Arial" w:eastAsia="Arial" w:hAnsi="Arial"/>
                <w:sz w:val="18"/>
                <w:szCs w:val="18"/>
                <w:color w:val="auto"/>
              </w:rPr>
              <w:t>333-253424</w:t>
            </w:r>
          </w:p>
        </w:tc>
        <w:tc>
          <w:tcPr>
            <w:tcW w:w="700" w:type="dxa"/>
            <w:vAlign w:val="bottom"/>
          </w:tcPr>
          <w:p>
            <w:pPr>
              <w:ind w:left="80"/>
              <w:spacing w:after="0"/>
              <w:rPr>
                <w:sz w:val="20"/>
                <w:szCs w:val="20"/>
                <w:color w:val="auto"/>
              </w:rPr>
            </w:pPr>
            <w:r>
              <w:rPr>
                <w:rFonts w:ascii="Arial" w:cs="Arial" w:eastAsia="Arial" w:hAnsi="Arial"/>
                <w:sz w:val="18"/>
                <w:szCs w:val="18"/>
                <w:color w:val="auto"/>
              </w:rPr>
              <w:t>99.2</w:t>
            </w:r>
          </w:p>
        </w:tc>
        <w:tc>
          <w:tcPr>
            <w:tcW w:w="1020" w:type="dxa"/>
            <w:vAlign w:val="bottom"/>
          </w:tcPr>
          <w:p>
            <w:pPr>
              <w:jc w:val="right"/>
              <w:spacing w:after="0"/>
              <w:rPr>
                <w:sz w:val="20"/>
                <w:szCs w:val="20"/>
                <w:color w:val="auto"/>
              </w:rPr>
            </w:pPr>
            <w:r>
              <w:rPr>
                <w:rFonts w:ascii="Arial" w:cs="Arial" w:eastAsia="Arial" w:hAnsi="Arial"/>
                <w:sz w:val="18"/>
                <w:szCs w:val="18"/>
                <w:color w:val="auto"/>
              </w:rPr>
              <w:t>02/24/2021</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S-4/A</w:t>
            </w:r>
          </w:p>
        </w:tc>
        <w:tc>
          <w:tcPr>
            <w:tcW w:w="1080" w:type="dxa"/>
            <w:vAlign w:val="bottom"/>
          </w:tcPr>
          <w:p>
            <w:pPr>
              <w:jc w:val="right"/>
              <w:spacing w:after="0"/>
              <w:rPr>
                <w:sz w:val="20"/>
                <w:szCs w:val="20"/>
                <w:color w:val="auto"/>
              </w:rPr>
            </w:pPr>
            <w:r>
              <w:rPr>
                <w:rFonts w:ascii="Arial" w:cs="Arial" w:eastAsia="Arial" w:hAnsi="Arial"/>
                <w:sz w:val="18"/>
                <w:szCs w:val="18"/>
                <w:color w:val="auto"/>
              </w:rPr>
              <w:t>333-235766</w:t>
            </w:r>
          </w:p>
        </w:tc>
        <w:tc>
          <w:tcPr>
            <w:tcW w:w="700" w:type="dxa"/>
            <w:vAlign w:val="bottom"/>
          </w:tcPr>
          <w:p>
            <w:pPr>
              <w:ind w:left="80"/>
              <w:spacing w:after="0"/>
              <w:rPr>
                <w:sz w:val="20"/>
                <w:szCs w:val="20"/>
                <w:color w:val="auto"/>
              </w:rPr>
            </w:pPr>
            <w:r>
              <w:rPr>
                <w:rFonts w:ascii="Arial" w:cs="Arial" w:eastAsia="Arial" w:hAnsi="Arial"/>
                <w:sz w:val="18"/>
                <w:szCs w:val="18"/>
                <w:color w:val="auto"/>
              </w:rPr>
              <w:t>10.11</w:t>
            </w:r>
          </w:p>
        </w:tc>
        <w:tc>
          <w:tcPr>
            <w:tcW w:w="1020" w:type="dxa"/>
            <w:vAlign w:val="bottom"/>
          </w:tcPr>
          <w:p>
            <w:pPr>
              <w:jc w:val="right"/>
              <w:spacing w:after="0"/>
              <w:rPr>
                <w:sz w:val="20"/>
                <w:szCs w:val="20"/>
                <w:color w:val="auto"/>
              </w:rPr>
            </w:pPr>
            <w:r>
              <w:rPr>
                <w:rFonts w:ascii="Arial" w:cs="Arial" w:eastAsia="Arial" w:hAnsi="Arial"/>
                <w:sz w:val="18"/>
                <w:szCs w:val="18"/>
                <w:color w:val="auto"/>
              </w:rPr>
              <w:t>10/14/2020</w:t>
            </w:r>
          </w:p>
        </w:tc>
      </w:tr>
    </w:tbl>
    <w:p>
      <w:pPr>
        <w:spacing w:after="0" w:line="6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6440" w:space="160"/>
            <w:col w:w="4640"/>
          </w:cols>
          <w:pgMar w:left="320" w:top="945"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Filing</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Number</w:t>
            </w:r>
          </w:p>
        </w:tc>
        <w:tc>
          <w:tcPr>
            <w:tcW w:w="5560" w:type="dxa"/>
            <w:vAlign w:val="bottom"/>
            <w:gridSpan w:val="7"/>
          </w:tcPr>
          <w:p>
            <w:pPr>
              <w:ind w:left="40"/>
              <w:spacing w:after="0"/>
              <w:rPr>
                <w:sz w:val="20"/>
                <w:szCs w:val="20"/>
                <w:color w:val="auto"/>
              </w:rPr>
            </w:pPr>
            <w:r>
              <w:rPr>
                <w:rFonts w:ascii="Arial" w:cs="Arial" w:eastAsia="Arial" w:hAnsi="Arial"/>
                <w:sz w:val="18"/>
                <w:szCs w:val="18"/>
                <w:b w:val="1"/>
                <w:bCs w:val="1"/>
                <w:color w:val="auto"/>
              </w:rPr>
              <w:t>Description</w:t>
            </w: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Form</w:t>
            </w: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File No.</w:t>
            </w: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r>
      <w:tr>
        <w:trPr>
          <w:trHeight w:val="40"/>
        </w:trPr>
        <w:tc>
          <w:tcPr>
            <w:tcW w:w="8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48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13">
              <w:r>
                <w:rPr>
                  <w:rFonts w:ascii="Arial" w:cs="Arial" w:eastAsia="Arial" w:hAnsi="Arial"/>
                  <w:sz w:val="18"/>
                  <w:szCs w:val="18"/>
                  <w:color w:val="0000EE"/>
                  <w:w w:val="91"/>
                </w:rPr>
                <w:t>Certification of Principal Executive Officer Pursuant to Rules 13a-</w:t>
              </w:r>
            </w:hyperlink>
          </w:p>
        </w:tc>
        <w:tc>
          <w:tcPr>
            <w:tcW w:w="760" w:type="dxa"/>
            <w:vAlign w:val="bottom"/>
            <w:gridSpan w:val="3"/>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60" w:type="dxa"/>
            <w:vAlign w:val="bottom"/>
            <w:gridSpan w:val="7"/>
          </w:tcPr>
          <w:p>
            <w:pPr>
              <w:spacing w:after="0" w:line="196" w:lineRule="exact"/>
              <w:rPr>
                <w:rFonts w:ascii="Arial" w:cs="Arial" w:eastAsia="Arial" w:hAnsi="Arial"/>
                <w:sz w:val="18"/>
                <w:szCs w:val="18"/>
                <w:color w:val="0000EE"/>
              </w:rPr>
            </w:pPr>
            <w:hyperlink w:anchor="page313">
              <w:r>
                <w:rPr>
                  <w:rFonts w:ascii="Arial" w:cs="Arial" w:eastAsia="Arial" w:hAnsi="Arial"/>
                  <w:sz w:val="18"/>
                  <w:szCs w:val="18"/>
                  <w:color w:val="0000EE"/>
                </w:rPr>
                <w:t>14(a) and 15d-14(a) under the Securities Exchange Act of 1934, as</w:t>
              </w:r>
            </w:hyperlink>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60" w:type="dxa"/>
            <w:vAlign w:val="bottom"/>
            <w:gridSpan w:val="7"/>
          </w:tcPr>
          <w:p>
            <w:pPr>
              <w:spacing w:after="0"/>
              <w:rPr>
                <w:rFonts w:ascii="Arial" w:cs="Arial" w:eastAsia="Arial" w:hAnsi="Arial"/>
                <w:sz w:val="18"/>
                <w:szCs w:val="18"/>
                <w:u w:val="single" w:color="auto"/>
                <w:color w:val="0000EE"/>
              </w:rPr>
            </w:pPr>
            <w:hyperlink w:anchor="page313">
              <w:r>
                <w:rPr>
                  <w:rFonts w:ascii="Arial" w:cs="Arial" w:eastAsia="Arial" w:hAnsi="Arial"/>
                  <w:sz w:val="18"/>
                  <w:szCs w:val="18"/>
                  <w:u w:val="single" w:color="auto"/>
                  <w:color w:val="0000EE"/>
                </w:rPr>
                <w:t>Adopted Pursuant to Section 302 of the Sarbanes-Oxley Act of 2002.</w:t>
              </w:r>
            </w:hyperlink>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2"/>
                <w:szCs w:val="22"/>
                <w:color w:val="auto"/>
              </w:rPr>
            </w:pPr>
          </w:p>
        </w:tc>
        <w:tc>
          <w:tcPr>
            <w:tcW w:w="48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14">
              <w:r>
                <w:rPr>
                  <w:rFonts w:ascii="Arial" w:cs="Arial" w:eastAsia="Arial" w:hAnsi="Arial"/>
                  <w:sz w:val="18"/>
                  <w:szCs w:val="18"/>
                  <w:color w:val="0000EE"/>
                  <w:w w:val="92"/>
                </w:rPr>
                <w:t>Certification of Principal Financial Officer Pursuant to Rules 13a-</w:t>
              </w:r>
            </w:hyperlink>
          </w:p>
        </w:tc>
        <w:tc>
          <w:tcPr>
            <w:tcW w:w="760" w:type="dxa"/>
            <w:vAlign w:val="bottom"/>
            <w:gridSpan w:val="3"/>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60" w:type="dxa"/>
            <w:vAlign w:val="bottom"/>
            <w:gridSpan w:val="7"/>
          </w:tcPr>
          <w:p>
            <w:pPr>
              <w:spacing w:after="0" w:line="196" w:lineRule="exact"/>
              <w:rPr>
                <w:rFonts w:ascii="Arial" w:cs="Arial" w:eastAsia="Arial" w:hAnsi="Arial"/>
                <w:sz w:val="18"/>
                <w:szCs w:val="18"/>
                <w:color w:val="0000EE"/>
              </w:rPr>
            </w:pPr>
            <w:hyperlink w:anchor="page314">
              <w:r>
                <w:rPr>
                  <w:rFonts w:ascii="Arial" w:cs="Arial" w:eastAsia="Arial" w:hAnsi="Arial"/>
                  <w:sz w:val="18"/>
                  <w:szCs w:val="18"/>
                  <w:color w:val="0000EE"/>
                </w:rPr>
                <w:t>14(a) and 15d-14(a) under the Securities Exchange Act of 1934, as</w:t>
              </w:r>
            </w:hyperlink>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60" w:type="dxa"/>
            <w:vAlign w:val="bottom"/>
            <w:gridSpan w:val="7"/>
          </w:tcPr>
          <w:p>
            <w:pPr>
              <w:spacing w:after="0"/>
              <w:rPr>
                <w:rFonts w:ascii="Arial" w:cs="Arial" w:eastAsia="Arial" w:hAnsi="Arial"/>
                <w:sz w:val="18"/>
                <w:szCs w:val="18"/>
                <w:u w:val="single" w:color="auto"/>
                <w:color w:val="0000EE"/>
              </w:rPr>
            </w:pPr>
            <w:hyperlink w:anchor="page314">
              <w:r>
                <w:rPr>
                  <w:rFonts w:ascii="Arial" w:cs="Arial" w:eastAsia="Arial" w:hAnsi="Arial"/>
                  <w:sz w:val="18"/>
                  <w:szCs w:val="18"/>
                  <w:u w:val="single" w:color="auto"/>
                  <w:color w:val="0000EE"/>
                </w:rPr>
                <w:t>Adopted Pursuant to Section 302 of the Sarbanes-Oxley Act of 2002.</w:t>
              </w:r>
            </w:hyperlink>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2"/>
                <w:szCs w:val="22"/>
                <w:color w:val="auto"/>
              </w:rPr>
            </w:pPr>
          </w:p>
        </w:tc>
        <w:tc>
          <w:tcPr>
            <w:tcW w:w="47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15">
              <w:r>
                <w:rPr>
                  <w:rFonts w:ascii="Arial" w:cs="Arial" w:eastAsia="Arial" w:hAnsi="Arial"/>
                  <w:sz w:val="18"/>
                  <w:szCs w:val="18"/>
                  <w:color w:val="0000EE"/>
                  <w:w w:val="92"/>
                </w:rPr>
                <w:t>Certification of Principal Executive Officer Pursuant to 18 U.S.C.</w:t>
              </w:r>
            </w:hyperlink>
          </w:p>
        </w:tc>
        <w:tc>
          <w:tcPr>
            <w:tcW w:w="820" w:type="dxa"/>
            <w:vAlign w:val="bottom"/>
            <w:gridSpan w:val="4"/>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15">
              <w:r>
                <w:rPr>
                  <w:rFonts w:ascii="Arial" w:cs="Arial" w:eastAsia="Arial" w:hAnsi="Arial"/>
                  <w:sz w:val="18"/>
                  <w:szCs w:val="18"/>
                  <w:color w:val="0000EE"/>
                  <w:w w:val="89"/>
                </w:rPr>
                <w:t>Section 1350, as Adopted Pursuant to Section 906 of the Sarbanes-Oxley</w:t>
              </w:r>
            </w:hyperlink>
          </w:p>
        </w:tc>
        <w:tc>
          <w:tcPr>
            <w:tcW w:w="3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15">
              <w:r>
                <w:rPr>
                  <w:rFonts w:ascii="Arial" w:cs="Arial" w:eastAsia="Arial" w:hAnsi="Arial"/>
                  <w:sz w:val="18"/>
                  <w:szCs w:val="18"/>
                  <w:color w:val="0000EE"/>
                  <w:w w:val="91"/>
                </w:rPr>
                <w:t>Act of 2002.</w:t>
              </w:r>
            </w:hyperlink>
          </w:p>
        </w:tc>
        <w:tc>
          <w:tcPr>
            <w:tcW w:w="466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5560" w:type="dxa"/>
            <w:vAlign w:val="bottom"/>
            <w:gridSpan w:val="7"/>
          </w:tcPr>
          <w:p>
            <w:pPr>
              <w:spacing w:after="0"/>
              <w:rPr>
                <w:rFonts w:ascii="Arial" w:cs="Arial" w:eastAsia="Arial" w:hAnsi="Arial"/>
                <w:sz w:val="18"/>
                <w:szCs w:val="18"/>
                <w:color w:val="0000EE"/>
              </w:rPr>
            </w:pPr>
            <w:hyperlink w:anchor="page316">
              <w:r>
                <w:rPr>
                  <w:rFonts w:ascii="Arial" w:cs="Arial" w:eastAsia="Arial" w:hAnsi="Arial"/>
                  <w:sz w:val="18"/>
                  <w:szCs w:val="18"/>
                  <w:color w:val="0000EE"/>
                </w:rPr>
                <w:t>Certification of Principal Financial Officer Pursuant to 18 U.S.C.</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16">
              <w:r>
                <w:rPr>
                  <w:rFonts w:ascii="Arial" w:cs="Arial" w:eastAsia="Arial" w:hAnsi="Arial"/>
                  <w:sz w:val="18"/>
                  <w:szCs w:val="18"/>
                  <w:color w:val="0000EE"/>
                  <w:w w:val="89"/>
                </w:rPr>
                <w:t>Section 1350, as Adopted Pursuant to Section 906 of the Sarbanes-Oxley</w:t>
              </w:r>
            </w:hyperlink>
          </w:p>
        </w:tc>
        <w:tc>
          <w:tcPr>
            <w:tcW w:w="3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16">
              <w:r>
                <w:rPr>
                  <w:rFonts w:ascii="Arial" w:cs="Arial" w:eastAsia="Arial" w:hAnsi="Arial"/>
                  <w:sz w:val="18"/>
                  <w:szCs w:val="18"/>
                  <w:color w:val="0000EE"/>
                  <w:w w:val="91"/>
                </w:rPr>
                <w:t>Act of 2002.</w:t>
              </w:r>
            </w:hyperlink>
          </w:p>
        </w:tc>
        <w:tc>
          <w:tcPr>
            <w:tcW w:w="466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03"/>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560" w:type="dxa"/>
            <w:vAlign w:val="bottom"/>
            <w:gridSpan w:val="7"/>
          </w:tcPr>
          <w:p>
            <w:pPr>
              <w:spacing w:after="0"/>
              <w:rPr>
                <w:sz w:val="20"/>
                <w:szCs w:val="20"/>
                <w:color w:val="auto"/>
              </w:rPr>
            </w:pPr>
            <w:r>
              <w:rPr>
                <w:rFonts w:ascii="Arial" w:cs="Arial" w:eastAsia="Arial" w:hAnsi="Arial"/>
                <w:sz w:val="18"/>
                <w:szCs w:val="18"/>
                <w:color w:val="auto"/>
                <w:w w:val="94"/>
              </w:rPr>
              <w:t>XBRL Instance Document - the instance document does not appear in the</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60" w:type="dxa"/>
            <w:vAlign w:val="bottom"/>
            <w:gridSpan w:val="7"/>
          </w:tcPr>
          <w:p>
            <w:pPr>
              <w:spacing w:after="0"/>
              <w:rPr>
                <w:sz w:val="20"/>
                <w:szCs w:val="20"/>
                <w:color w:val="auto"/>
              </w:rPr>
            </w:pPr>
            <w:r>
              <w:rPr>
                <w:rFonts w:ascii="Arial" w:cs="Arial" w:eastAsia="Arial" w:hAnsi="Arial"/>
                <w:sz w:val="18"/>
                <w:szCs w:val="18"/>
                <w:color w:val="auto"/>
              </w:rPr>
              <w:t>Interactive Data File because its XBRL tags are embedded within the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60" w:type="dxa"/>
            <w:vAlign w:val="bottom"/>
            <w:gridSpan w:val="7"/>
          </w:tcPr>
          <w:p>
            <w:pPr>
              <w:spacing w:after="0"/>
              <w:rPr>
                <w:sz w:val="20"/>
                <w:szCs w:val="20"/>
                <w:color w:val="auto"/>
              </w:rPr>
            </w:pPr>
            <w:r>
              <w:rPr>
                <w:rFonts w:ascii="Arial" w:cs="Arial" w:eastAsia="Arial" w:hAnsi="Arial"/>
                <w:sz w:val="18"/>
                <w:szCs w:val="18"/>
                <w:color w:val="auto"/>
              </w:rPr>
              <w:t>Inline XBRL document.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56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5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5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5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5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11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Denotes a management contract or compensation plan or arrangement</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AerSale Corporation</w:t>
      </w:r>
    </w:p>
    <w:p>
      <w:pPr>
        <w:spacing w:after="0" w:line="252"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Date: March 16, 2021</w:t>
      </w:r>
      <w:r>
        <w:rPr>
          <w:sz w:val="20"/>
          <w:szCs w:val="20"/>
          <w:color w:val="auto"/>
        </w:rPr>
        <w:tab/>
      </w:r>
      <w:r>
        <w:rPr>
          <w:rFonts w:ascii="Arial" w:cs="Arial" w:eastAsia="Arial" w:hAnsi="Arial"/>
          <w:sz w:val="17"/>
          <w:szCs w:val="17"/>
          <w:color w:val="auto"/>
        </w:rPr>
        <w:t>By: /s/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33858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Nicolas Finazzo</w:t>
      </w:r>
    </w:p>
    <w:p>
      <w:pPr>
        <w:spacing w:after="0" w:line="23" w:lineRule="exact"/>
        <w:rPr>
          <w:sz w:val="20"/>
          <w:szCs w:val="20"/>
          <w:color w:val="auto"/>
        </w:rPr>
      </w:pPr>
    </w:p>
    <w:p>
      <w:pPr>
        <w:jc w:val="center"/>
        <w:ind w:left="5880"/>
        <w:spacing w:after="0"/>
        <w:rPr>
          <w:sz w:val="20"/>
          <w:szCs w:val="20"/>
          <w:color w:val="auto"/>
        </w:rPr>
      </w:pPr>
      <w:r>
        <w:rPr>
          <w:rFonts w:ascii="Arial" w:cs="Arial" w:eastAsia="Arial" w:hAnsi="Arial"/>
          <w:sz w:val="18"/>
          <w:szCs w:val="18"/>
          <w:i w:val="1"/>
          <w:iCs w:val="1"/>
          <w:color w:val="auto"/>
        </w:rPr>
        <w:t>Chief Executive Officer</w:t>
      </w: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Name</w:t>
            </w:r>
          </w:p>
        </w:tc>
        <w:tc>
          <w:tcPr>
            <w:tcW w:w="220" w:type="dxa"/>
            <w:vAlign w:val="bottom"/>
          </w:tcPr>
          <w:p>
            <w:pPr>
              <w:spacing w:after="0"/>
              <w:rPr>
                <w:sz w:val="20"/>
                <w:szCs w:val="20"/>
                <w:color w:val="auto"/>
              </w:rPr>
            </w:pPr>
          </w:p>
        </w:tc>
        <w:tc>
          <w:tcPr>
            <w:tcW w:w="5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Nicolas Finazzo</w:t>
            </w:r>
          </w:p>
        </w:tc>
        <w:tc>
          <w:tcPr>
            <w:tcW w:w="220" w:type="dxa"/>
            <w:vAlign w:val="bottom"/>
          </w:tcPr>
          <w:p>
            <w:pPr>
              <w:spacing w:after="0"/>
              <w:rPr>
                <w:sz w:val="24"/>
                <w:szCs w:val="24"/>
                <w:color w:val="auto"/>
              </w:rPr>
            </w:pPr>
          </w:p>
        </w:tc>
        <w:tc>
          <w:tcPr>
            <w:tcW w:w="60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Chairman, Chief Executive Officer, Division President, TechOps and 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2500" w:type="dxa"/>
            <w:vAlign w:val="bottom"/>
          </w:tcPr>
          <w:p>
            <w:pPr>
              <w:jc w:val="center"/>
              <w:spacing w:after="0"/>
              <w:rPr>
                <w:sz w:val="20"/>
                <w:szCs w:val="20"/>
                <w:color w:val="auto"/>
              </w:rPr>
            </w:pPr>
            <w:r>
              <w:rPr>
                <w:rFonts w:ascii="Arial" w:cs="Arial" w:eastAsia="Arial" w:hAnsi="Arial"/>
                <w:sz w:val="18"/>
                <w:szCs w:val="18"/>
                <w:color w:val="auto"/>
                <w:w w:val="92"/>
              </w:rPr>
              <w:t>Nicolas Finazzo</w:t>
            </w:r>
          </w:p>
        </w:tc>
        <w:tc>
          <w:tcPr>
            <w:tcW w:w="220" w:type="dxa"/>
            <w:vAlign w:val="bottom"/>
          </w:tcPr>
          <w:p>
            <w:pPr>
              <w:spacing w:after="0"/>
              <w:rPr>
                <w:sz w:val="19"/>
                <w:szCs w:val="19"/>
                <w:color w:val="auto"/>
              </w:rPr>
            </w:pPr>
          </w:p>
        </w:tc>
        <w:tc>
          <w:tcPr>
            <w:tcW w:w="604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3"/>
              </w:rPr>
              <w:t>(principal executive officer)</w:t>
            </w:r>
          </w:p>
        </w:tc>
        <w:tc>
          <w:tcPr>
            <w:tcW w:w="248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B. Nichols</w:t>
            </w:r>
          </w:p>
        </w:tc>
        <w:tc>
          <w:tcPr>
            <w:tcW w:w="220" w:type="dxa"/>
            <w:vAlign w:val="bottom"/>
          </w:tcPr>
          <w:p>
            <w:pPr>
              <w:spacing w:after="0"/>
              <w:rPr>
                <w:sz w:val="24"/>
                <w:szCs w:val="24"/>
                <w:color w:val="auto"/>
              </w:rPr>
            </w:pPr>
          </w:p>
        </w:tc>
        <w:tc>
          <w:tcPr>
            <w:tcW w:w="60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Vice Chairman, Division President,</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2500" w:type="dxa"/>
            <w:vAlign w:val="bottom"/>
          </w:tcPr>
          <w:p>
            <w:pPr>
              <w:jc w:val="center"/>
              <w:spacing w:after="0"/>
              <w:rPr>
                <w:sz w:val="20"/>
                <w:szCs w:val="20"/>
                <w:color w:val="auto"/>
              </w:rPr>
            </w:pPr>
            <w:r>
              <w:rPr>
                <w:rFonts w:ascii="Arial" w:cs="Arial" w:eastAsia="Arial" w:hAnsi="Arial"/>
                <w:sz w:val="18"/>
                <w:szCs w:val="18"/>
                <w:color w:val="auto"/>
                <w:w w:val="92"/>
              </w:rPr>
              <w:t>Robert B. Nichols</w:t>
            </w:r>
          </w:p>
        </w:tc>
        <w:tc>
          <w:tcPr>
            <w:tcW w:w="220" w:type="dxa"/>
            <w:vAlign w:val="bottom"/>
          </w:tcPr>
          <w:p>
            <w:pPr>
              <w:spacing w:after="0"/>
              <w:rPr>
                <w:sz w:val="19"/>
                <w:szCs w:val="19"/>
                <w:color w:val="auto"/>
              </w:rPr>
            </w:pPr>
          </w:p>
        </w:tc>
        <w:tc>
          <w:tcPr>
            <w:tcW w:w="60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Asset Management Solutions and Director</w:t>
            </w:r>
          </w:p>
        </w:tc>
        <w:tc>
          <w:tcPr>
            <w:tcW w:w="248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Martin Garmendia</w:t>
            </w:r>
          </w:p>
        </w:tc>
        <w:tc>
          <w:tcPr>
            <w:tcW w:w="220" w:type="dxa"/>
            <w:vAlign w:val="bottom"/>
          </w:tcPr>
          <w:p>
            <w:pPr>
              <w:spacing w:after="0"/>
              <w:rPr>
                <w:sz w:val="24"/>
                <w:szCs w:val="24"/>
                <w:color w:val="auto"/>
              </w:rPr>
            </w:pPr>
          </w:p>
        </w:tc>
        <w:tc>
          <w:tcPr>
            <w:tcW w:w="60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Chief Financial Officer, Treasurer and Secretary</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2500" w:type="dxa"/>
            <w:vAlign w:val="bottom"/>
          </w:tcPr>
          <w:p>
            <w:pPr>
              <w:jc w:val="center"/>
              <w:spacing w:after="0"/>
              <w:rPr>
                <w:sz w:val="20"/>
                <w:szCs w:val="20"/>
                <w:color w:val="auto"/>
              </w:rPr>
            </w:pPr>
            <w:r>
              <w:rPr>
                <w:rFonts w:ascii="Arial" w:cs="Arial" w:eastAsia="Arial" w:hAnsi="Arial"/>
                <w:sz w:val="18"/>
                <w:szCs w:val="18"/>
                <w:color w:val="auto"/>
                <w:w w:val="92"/>
              </w:rPr>
              <w:t>Martin Garmendia</w:t>
            </w:r>
          </w:p>
        </w:tc>
        <w:tc>
          <w:tcPr>
            <w:tcW w:w="220" w:type="dxa"/>
            <w:vAlign w:val="bottom"/>
          </w:tcPr>
          <w:p>
            <w:pPr>
              <w:spacing w:after="0"/>
              <w:rPr>
                <w:sz w:val="19"/>
                <w:szCs w:val="19"/>
                <w:color w:val="auto"/>
              </w:rPr>
            </w:pPr>
          </w:p>
        </w:tc>
        <w:tc>
          <w:tcPr>
            <w:tcW w:w="6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and accounting officer</w:t>
            </w:r>
            <w:r>
              <w:rPr>
                <w:rFonts w:ascii="Arial" w:cs="Arial" w:eastAsia="Arial" w:hAnsi="Arial"/>
                <w:sz w:val="18"/>
                <w:szCs w:val="18"/>
                <w:color w:val="auto"/>
                <w:w w:val="94"/>
              </w:rPr>
              <w:t>)</w:t>
            </w:r>
          </w:p>
        </w:tc>
        <w:tc>
          <w:tcPr>
            <w:tcW w:w="248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Jonathan Seiffer</w:t>
            </w:r>
          </w:p>
        </w:tc>
        <w:tc>
          <w:tcPr>
            <w:tcW w:w="220" w:type="dxa"/>
            <w:vAlign w:val="bottom"/>
          </w:tcPr>
          <w:p>
            <w:pPr>
              <w:spacing w:after="0"/>
              <w:rPr>
                <w:sz w:val="24"/>
                <w:szCs w:val="24"/>
                <w:color w:val="auto"/>
              </w:rPr>
            </w:pPr>
          </w:p>
        </w:tc>
        <w:tc>
          <w:tcPr>
            <w:tcW w:w="6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2500" w:type="dxa"/>
            <w:vAlign w:val="bottom"/>
          </w:tcPr>
          <w:p>
            <w:pPr>
              <w:jc w:val="center"/>
              <w:spacing w:after="0"/>
              <w:rPr>
                <w:sz w:val="20"/>
                <w:szCs w:val="20"/>
                <w:color w:val="auto"/>
              </w:rPr>
            </w:pPr>
            <w:r>
              <w:rPr>
                <w:rFonts w:ascii="Arial" w:cs="Arial" w:eastAsia="Arial" w:hAnsi="Arial"/>
                <w:sz w:val="18"/>
                <w:szCs w:val="18"/>
                <w:color w:val="auto"/>
                <w:w w:val="89"/>
              </w:rPr>
              <w:t>Jonathan Seiffer</w:t>
            </w:r>
          </w:p>
        </w:tc>
        <w:tc>
          <w:tcPr>
            <w:tcW w:w="2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Eric J. Zahler</w:t>
            </w:r>
          </w:p>
        </w:tc>
        <w:tc>
          <w:tcPr>
            <w:tcW w:w="220" w:type="dxa"/>
            <w:vAlign w:val="bottom"/>
          </w:tcPr>
          <w:p>
            <w:pPr>
              <w:spacing w:after="0"/>
              <w:rPr>
                <w:sz w:val="24"/>
                <w:szCs w:val="24"/>
                <w:color w:val="auto"/>
              </w:rPr>
            </w:pPr>
          </w:p>
        </w:tc>
        <w:tc>
          <w:tcPr>
            <w:tcW w:w="6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2500" w:type="dxa"/>
            <w:vAlign w:val="bottom"/>
          </w:tcPr>
          <w:p>
            <w:pPr>
              <w:jc w:val="center"/>
              <w:spacing w:after="0"/>
              <w:rPr>
                <w:sz w:val="20"/>
                <w:szCs w:val="20"/>
                <w:color w:val="auto"/>
              </w:rPr>
            </w:pPr>
            <w:r>
              <w:rPr>
                <w:rFonts w:ascii="Arial" w:cs="Arial" w:eastAsia="Arial" w:hAnsi="Arial"/>
                <w:sz w:val="18"/>
                <w:szCs w:val="18"/>
                <w:color w:val="auto"/>
                <w:w w:val="92"/>
              </w:rPr>
              <w:t>Eric J. Zahler</w:t>
            </w:r>
          </w:p>
        </w:tc>
        <w:tc>
          <w:tcPr>
            <w:tcW w:w="2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Sai S. Devabhaktuni</w:t>
            </w:r>
          </w:p>
        </w:tc>
        <w:tc>
          <w:tcPr>
            <w:tcW w:w="220" w:type="dxa"/>
            <w:vAlign w:val="bottom"/>
          </w:tcPr>
          <w:p>
            <w:pPr>
              <w:spacing w:after="0"/>
              <w:rPr>
                <w:sz w:val="24"/>
                <w:szCs w:val="24"/>
                <w:color w:val="auto"/>
              </w:rPr>
            </w:pPr>
          </w:p>
        </w:tc>
        <w:tc>
          <w:tcPr>
            <w:tcW w:w="6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2500" w:type="dxa"/>
            <w:vAlign w:val="bottom"/>
          </w:tcPr>
          <w:p>
            <w:pPr>
              <w:jc w:val="center"/>
              <w:spacing w:after="0"/>
              <w:rPr>
                <w:sz w:val="20"/>
                <w:szCs w:val="20"/>
                <w:color w:val="auto"/>
              </w:rPr>
            </w:pPr>
            <w:r>
              <w:rPr>
                <w:rFonts w:ascii="Arial" w:cs="Arial" w:eastAsia="Arial" w:hAnsi="Arial"/>
                <w:sz w:val="18"/>
                <w:szCs w:val="18"/>
                <w:color w:val="auto"/>
                <w:w w:val="89"/>
              </w:rPr>
              <w:t>Sai S. Devabhaktuni</w:t>
            </w:r>
          </w:p>
        </w:tc>
        <w:tc>
          <w:tcPr>
            <w:tcW w:w="2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Richard J. Townsend</w:t>
            </w:r>
          </w:p>
        </w:tc>
        <w:tc>
          <w:tcPr>
            <w:tcW w:w="220" w:type="dxa"/>
            <w:vAlign w:val="bottom"/>
          </w:tcPr>
          <w:p>
            <w:pPr>
              <w:spacing w:after="0"/>
              <w:rPr>
                <w:sz w:val="24"/>
                <w:szCs w:val="24"/>
                <w:color w:val="auto"/>
              </w:rPr>
            </w:pPr>
          </w:p>
        </w:tc>
        <w:tc>
          <w:tcPr>
            <w:tcW w:w="6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2500" w:type="dxa"/>
            <w:vAlign w:val="bottom"/>
          </w:tcPr>
          <w:p>
            <w:pPr>
              <w:jc w:val="center"/>
              <w:spacing w:after="0"/>
              <w:rPr>
                <w:sz w:val="20"/>
                <w:szCs w:val="20"/>
                <w:color w:val="auto"/>
              </w:rPr>
            </w:pPr>
            <w:r>
              <w:rPr>
                <w:rFonts w:ascii="Arial" w:cs="Arial" w:eastAsia="Arial" w:hAnsi="Arial"/>
                <w:sz w:val="18"/>
                <w:szCs w:val="18"/>
                <w:color w:val="auto"/>
                <w:w w:val="88"/>
              </w:rPr>
              <w:t>Richard J. Townsend</w:t>
            </w:r>
          </w:p>
        </w:tc>
        <w:tc>
          <w:tcPr>
            <w:tcW w:w="2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General C. Robert Kehler</w:t>
            </w:r>
          </w:p>
        </w:tc>
        <w:tc>
          <w:tcPr>
            <w:tcW w:w="220" w:type="dxa"/>
            <w:vAlign w:val="bottom"/>
          </w:tcPr>
          <w:p>
            <w:pPr>
              <w:spacing w:after="0"/>
              <w:rPr>
                <w:sz w:val="24"/>
                <w:szCs w:val="24"/>
                <w:color w:val="auto"/>
              </w:rPr>
            </w:pPr>
          </w:p>
        </w:tc>
        <w:tc>
          <w:tcPr>
            <w:tcW w:w="6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2500" w:type="dxa"/>
            <w:vAlign w:val="bottom"/>
          </w:tcPr>
          <w:p>
            <w:pPr>
              <w:jc w:val="center"/>
              <w:spacing w:after="0"/>
              <w:rPr>
                <w:sz w:val="20"/>
                <w:szCs w:val="20"/>
                <w:color w:val="auto"/>
              </w:rPr>
            </w:pPr>
            <w:r>
              <w:rPr>
                <w:rFonts w:ascii="Arial" w:cs="Arial" w:eastAsia="Arial" w:hAnsi="Arial"/>
                <w:sz w:val="18"/>
                <w:szCs w:val="18"/>
                <w:color w:val="auto"/>
                <w:w w:val="91"/>
              </w:rPr>
              <w:t>General C. Robert Kehler</w:t>
            </w:r>
          </w:p>
        </w:tc>
        <w:tc>
          <w:tcPr>
            <w:tcW w:w="2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Peter Nolan</w:t>
            </w:r>
          </w:p>
        </w:tc>
        <w:tc>
          <w:tcPr>
            <w:tcW w:w="220" w:type="dxa"/>
            <w:vAlign w:val="bottom"/>
          </w:tcPr>
          <w:p>
            <w:pPr>
              <w:spacing w:after="0"/>
              <w:rPr>
                <w:sz w:val="24"/>
                <w:szCs w:val="24"/>
                <w:color w:val="auto"/>
              </w:rPr>
            </w:pPr>
          </w:p>
        </w:tc>
        <w:tc>
          <w:tcPr>
            <w:tcW w:w="6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2500" w:type="dxa"/>
            <w:vAlign w:val="bottom"/>
          </w:tcPr>
          <w:p>
            <w:pPr>
              <w:jc w:val="center"/>
              <w:spacing w:after="0"/>
              <w:rPr>
                <w:sz w:val="20"/>
                <w:szCs w:val="20"/>
                <w:color w:val="auto"/>
              </w:rPr>
            </w:pPr>
            <w:r>
              <w:rPr>
                <w:rFonts w:ascii="Arial" w:cs="Arial" w:eastAsia="Arial" w:hAnsi="Arial"/>
                <w:sz w:val="18"/>
                <w:szCs w:val="18"/>
                <w:color w:val="auto"/>
                <w:w w:val="90"/>
              </w:rPr>
              <w:t>Peter Nolan</w:t>
            </w:r>
          </w:p>
        </w:tc>
        <w:tc>
          <w:tcPr>
            <w:tcW w:w="2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Kirton</w:t>
            </w:r>
          </w:p>
        </w:tc>
        <w:tc>
          <w:tcPr>
            <w:tcW w:w="220" w:type="dxa"/>
            <w:vAlign w:val="bottom"/>
          </w:tcPr>
          <w:p>
            <w:pPr>
              <w:spacing w:after="0"/>
              <w:rPr>
                <w:sz w:val="24"/>
                <w:szCs w:val="24"/>
                <w:color w:val="auto"/>
              </w:rPr>
            </w:pPr>
          </w:p>
        </w:tc>
        <w:tc>
          <w:tcPr>
            <w:tcW w:w="6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2500" w:type="dxa"/>
            <w:vAlign w:val="bottom"/>
          </w:tcPr>
          <w:p>
            <w:pPr>
              <w:jc w:val="center"/>
              <w:spacing w:after="0"/>
              <w:rPr>
                <w:sz w:val="20"/>
                <w:szCs w:val="20"/>
                <w:color w:val="auto"/>
              </w:rPr>
            </w:pPr>
            <w:r>
              <w:rPr>
                <w:rFonts w:ascii="Arial" w:cs="Arial" w:eastAsia="Arial" w:hAnsi="Arial"/>
                <w:sz w:val="18"/>
                <w:szCs w:val="18"/>
                <w:color w:val="auto"/>
                <w:w w:val="96"/>
              </w:rPr>
              <w:t>Michael Kirton</w:t>
            </w:r>
          </w:p>
        </w:tc>
        <w:tc>
          <w:tcPr>
            <w:tcW w:w="2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34"/>
        </w:trPr>
        <w:tc>
          <w:tcPr>
            <w:tcW w:w="250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gridSpan w:val="2"/>
          </w:tcPr>
          <w:p>
            <w:pPr>
              <w:jc w:val="right"/>
              <w:ind w:right="2770"/>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2" w:name="page93"/>
    <w:bookmarkEnd w:id="92"/>
    <w:p>
      <w:pPr>
        <w:ind w:left="10240"/>
        <w:spacing w:after="0"/>
        <w:rPr>
          <w:sz w:val="20"/>
          <w:szCs w:val="20"/>
          <w:color w:val="auto"/>
        </w:rPr>
      </w:pPr>
      <w:r>
        <w:rPr>
          <w:rFonts w:ascii="Arial" w:cs="Arial" w:eastAsia="Arial" w:hAnsi="Arial"/>
          <w:sz w:val="19"/>
          <w:szCs w:val="19"/>
          <w:b w:val="1"/>
          <w:bCs w:val="1"/>
          <w:color w:val="auto"/>
        </w:rPr>
        <w:t>Exhibit 4.4</w:t>
      </w:r>
    </w:p>
    <w:p>
      <w:pPr>
        <w:spacing w:after="0" w:line="27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 AS AMENDED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of December 31, 2020, AerSale Corporation had two classes of securities registered under Section 12 of the Securities Exchange Act of 1934, as amended (the “Exchange Act”). References herein to “we,” “us,” “our” and the “Company” refer to AerSale Corporation and not to any of its subsidiaries. The following description summarizes some of the terms of our Amended and Restated Certificate of Incorporation, as amended (our “Charter”), our Amended and Restated Bylaws, as amended (our “Bylaws”) and our Warrant Agreement, dated February 6, 2019, between us and Continental Stock Transfer &amp; Trust Company (the “Warrant Agreement”). Because it is only a summary, it does not contain all the information that may be important to you. For a complete description, you should refer to our Charter, Bylaws and Warrant Agreement, copies of which have been filed with the Securities and Exchange Commission, as well as the relevant provisions of the General Corporation Law of the State of Delaware (the “DGCL”).</w:t>
      </w:r>
    </w:p>
    <w:p>
      <w:pPr>
        <w:spacing w:after="0" w:line="166" w:lineRule="exact"/>
        <w:rPr>
          <w:sz w:val="20"/>
          <w:szCs w:val="20"/>
          <w:color w:val="auto"/>
        </w:rPr>
      </w:pPr>
    </w:p>
    <w:p>
      <w:pPr>
        <w:jc w:val="both"/>
        <w:ind w:right="320"/>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par value $0.0001 per share, and 5,000,000 shares of preferred stock, par value $0.0001 per share.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Holders of our common stock are entitled to receive such dividends, if any, as may be declared from time-to-time by our Board of Directors (the “Board”) out of legally available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Each holder of our common stock is entitled to one vote for each share on all matters properly submitted to a vote of the our stockholders, including the election of directors. Our stockholders do not have cumulative voting rights in the election of directors. Accordingly, holders of a majority of the voting shares are able to elect all of our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Subject to applicable law, the rights, if any, of the holders of any outstanding series of the preferred stock, in the event of any voluntary or involuntary liquidation, dissolution or winding up, after payment or provision for payment of our debts and other liabilities, the holders of shares of our common stock will be entitled to receive all our remaining assets available for distribution to our stockholders, ratably in proportion to the number of shares of our common stock held by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Board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225"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Each public warrant entitles the registered holder to purchase one share of our common stock at a price of $11.50 per share, subject to adjustment as discussed below, at any time. The public warrants expire at 5:00 p.m., New York City time, on December 22, 2025, or earlier upon redemption or liquidation.</w:t>
      </w:r>
    </w:p>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Holders of our public warrants cannot pay cash to exercise their public warrants unless we have an effective and current registration statement covering the issuance of the shares underlying such public warrants and a current prospectus relating thereto. Notwithstanding the foregoing, if we do not maintain effectiveness of our registration statement covering the issuance of the shares issuable upon exercise of the public warrants through March 22, 2021, warrant holders may, during any period when we shall have failed to maintain an effective registration statement, exercise warrants on a cashless basis pursuant to an available exemption from registration under the Securities Act of 1933, as amended (the “Securities Act”). If an exemption from registration is not available, holders will not be able to exercise their warrants on a cashless basis. In no event are we required to net cash settle any warrant, or issue securities or other compensation in exchange for the public warrants in the event that we are unable to register or qualify the shares underlying the warrants under the Securities Act or applicable state securities laws.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may redeem the outstanding warrants (excluding the warrants held by Cowen Investments II LLC (“Cowen”)):</w:t>
      </w:r>
    </w:p>
    <w:p>
      <w:pPr>
        <w:spacing w:after="0" w:line="225"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which we refer to as the 30 day redemption period; and</w:t>
      </w:r>
    </w:p>
    <w:p>
      <w:pPr>
        <w:spacing w:after="0" w:line="225" w:lineRule="exact"/>
        <w:rPr>
          <w:rFonts w:ascii="Arial" w:cs="Arial" w:eastAsia="Arial" w:hAnsi="Arial"/>
          <w:sz w:val="18"/>
          <w:szCs w:val="18"/>
          <w:color w:val="auto"/>
        </w:rPr>
      </w:pPr>
    </w:p>
    <w:p>
      <w:pPr>
        <w:ind w:right="280" w:firstLine="8"/>
        <w:spacing w:after="0" w:line="263" w:lineRule="auto"/>
        <w:tabs>
          <w:tab w:leader="none" w:pos="1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and only if, the last reported sale price of our common stock equals or exceeds $18.00 per share (as adjusted for stock splits, stock dividends, reorganizations, recapitalizations and the like) for any 20 trading days within a 30-trading day period ending on the third trading day prior to the date on which we send the notice of redemption to the public warrant holders.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not redeem the public warrants unless a registration statement under the Securities Act covering the issuance of the shares underlying the public warrants to be so redeemed is then effective and a current prospectus relating to those shares is available throughout the 30 day redemption period, except if the public warrants may be exercised on a cashless basis and such cashless exercise is exempt from registration under the Securities Act. If and when the public warrants become redeemable by us, we may exercise our redemption right even if we are unable to register or qualify the underlying securities for sale under all applicable state securities laws.</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the foregoing conditions are satisfied and we issue a notice of redemption, each public warrant holder may exercise his, her or its public warrants prior to the scheduled redemption date. However, the price of the shares of our common stock may fall below the $18.00 trigger price (as adjusted) as well as the $11.50 exercise price (as adjusted) after the redemption notice is issued.</w:t>
      </w:r>
    </w:p>
    <w:p>
      <w:pPr>
        <w:spacing w:after="0" w:line="184"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redemption criteria for the public warrants have been established at a price which is intended to provide warrant holders a reasonable premium to the initial exercise price and provide a sufficient differential between the then-prevailing share price and the exercise price so that if the share price declines as a result of our redemption call, the redemption will not cause the share price to drop below the exercise price of the 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right="140"/>
        <w:spacing w:after="0" w:line="293" w:lineRule="auto"/>
        <w:rPr>
          <w:sz w:val="20"/>
          <w:szCs w:val="20"/>
          <w:color w:val="auto"/>
        </w:rPr>
      </w:pPr>
      <w:r>
        <w:rPr>
          <w:rFonts w:ascii="Arial" w:cs="Arial" w:eastAsia="Arial" w:hAnsi="Arial"/>
          <w:sz w:val="16"/>
          <w:szCs w:val="16"/>
          <w:color w:val="auto"/>
        </w:rPr>
        <w:t>If we call the public warrants for redemption as described above, our management will have the option to require all holders that wish to exercise its warrants to do so on a “cashless basis.” In making such determination, our management will consider, among other factors, our cash position, the number of warrants that are outstanding and the dilutive effect on our stockholders of issuing the maximum number of warrant shares issuable upon exercise of outstanding public warrants. In such event, the holder would pay the exercise price by surrendering the warrants for that number of shares of our common stock equal to the quotient obtained by dividing (x) the product of the number of warrant shares underlying the public warrants to be so exercised, and the difference between the exercise price of the public warrants and the fair market value by (y) the fair market value.</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holder of a public warrants may notify us in writing in the event it elects to be subject to a requirement that such holder will not have the right to exercise such warrant, to the extent that after giving effect to such exercise, such person (together with such person’s aaffiliates), to the warrant agent’s actual knowledge, would beneficially own in excess of 4.9% or 9.8% (or such other amount as a holder may specify) of the shares of our common stock outstanding immediately after giving effect to such exercise.</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the number of outstanding shares of our common stock is increased by a stock dividend payable in shares of our common stock, or by a split-up of shares of our common stock or other similar event, then, on the effective date of such stock dividend, split-up or similar event, the number of shares of our common stock issuable on exercise of each public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(i) the number of shares of our common stock actually sold in such rights offering (or issuable under any other equity securities sold in such rights offering that are convertible into or exercisable for our common stock) multiplied by (ii) one minus the quotient of (x) the price per share of our common stock paid in such rights offering divided by (y) the fair market value. For these purposes, (i) if the rights offering is for securities convertible into or exercisable for our common stock, in determining the price payable for our common stock, there will be taken into account any consideration received for such rights, as well as any additional amount payable upon exercise or conversion and (ii) fair market value means the volume weighted average price of our common stock as reported during the 10 trading day period ending on the trading day prior to the first date on which the shares of our common stock trade on the applicable exchange or in the applicable market, regular way, without the right to receive such rights.</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if we, at any time while the public warrants are outstanding and unexpired, pay a dividend or make a distribution in cash, securities or other assets to the holders of our common stock on account of such shares of our common stock (or other shares of our capital stock into which the public warrants are convertible), other than (a) as described above, (b) certain ordinary cash dividends, then the public warrants exercise price will be decreased, effective immediately after the effective date of such event, by the amount of cash and/or the fair market value of any securities or other assets paid on each share of our common stock in respect of such event.</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our common stock issuable on exercise of each public warrant will be decreased in proportion to such decrease in outstanding shares of our common stock.</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Whenever the number of shares of our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our common stock purchasable upon the exercise of the public warrants immediately prior to such adjustment, and (y) the denominator of which will be the number of shares of our common stock so purchasable immediately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spacing w:after="0" w:line="284" w:lineRule="auto"/>
        <w:rPr>
          <w:sz w:val="20"/>
          <w:szCs w:val="20"/>
          <w:color w:val="auto"/>
        </w:rPr>
      </w:pPr>
      <w:r>
        <w:rPr>
          <w:rFonts w:ascii="Arial" w:cs="Arial" w:eastAsia="Arial" w:hAnsi="Arial"/>
          <w:sz w:val="16"/>
          <w:szCs w:val="16"/>
          <w:color w:val="auto"/>
        </w:rPr>
        <w:t>In case of any reclassification or reorganization of the outstanding shares of our common stock (other than those described above or that solely affects the par value of such shares of our common stock), or in the case of any merger or consolidation of us with or into another corporation (other than a consolidation or merger in which we are the continuing corporation and that does not result in any reclassification or reorganization of our outstanding shares of our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or exchange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our common stock, the holder of a public warrant will be entitled to receive the highest amount of cash, securities or other property to which such holder would actually have been entitled as our stockholder if such our public warrant holder had exercised the warrant prior to the expiration of such tender or exchange offer, accepted such offer and all of the our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our stockholders in such a transaction is payable in the form of our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private warrants held by Cowen and Monocle Partners, LLC (the “Sponsor” and, together with Cowen, the “Founders”) are not be redeemable by us so long as they are held by the Sponsor or its permitted transferees. The Founders, or their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private Wwarrants are held by holders other than the Founders or its permitted transferees, the private warrants will be redeemable by us and exercisable by the holders on the same basis as the public warrants.</w:t>
      </w:r>
    </w:p>
    <w:p>
      <w:pPr>
        <w:spacing w:after="0" w:line="1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private warrants are identical to the public warrants except that such private warrants are exercisable for cash (even if a registration statement covering the issuance of the warrant shares issuable upon exercise of such warrants is not effective) or on a cashless basis, at the holder’s option, and will not be redeemable by us, in each case so long as they are still held by the Founders or their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Exclusive Venue</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Charter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or other employee to us or our stockholders; (3) any action asserting a claim against us arising pursuant to any provision of the DGCL or our Charter or Bylaws; (4) any action to interpret, apply, enforce or determine the validity of our Charter or Bylaws; or (5) any action asserting a claim governed by the internal affairs doctrine. Under our Charter, this exclusive forum provision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For instance, the provision would not apply to actions arising under federal securities laws, including suits brought to enforce any liability or duty created by the Securities Act, Exchange Act, or the rules and regulations thereunder. Our Charter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Our Charter also provides that any person or entity purchasing or otherwise acquiring any interest in shares of our capital stock will be deemed to have notice of and to have consented to these choice of forum provisions. It is possible that a court of law could rule that either or both of the choice of forum provisions contained in our Charter is inapplicable or unenforceable if it is challenged in a proceeding or otherwise. stockholders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Charter and Bylaws provide that that our officers and directors will be indemnified by us to the fullest extent authorized by Delaware law, as it now exists or may in the future be amended. In addition, our Charter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Bylaws also permit us to secure insurance on behalf of any officer, director, employee or agent for any liability arising out of his or her actions, regardless of whether Delaware law would permit such indemnification. We purchased a policy of directors’ and officers’ liability insurance that insures our officers and directors against the cost of defense, settlement or payment of a judgment in certain circumstances and insures us against our obligations to indemnify our officers and directors.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80"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Certain Anti-Takeover Provisions of Delaware Law, Our Certificate of Incorporation and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opted out of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Vacancies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Our Board is empowered to elect a director to fill a vacancy created by the expansion of our Board or the resignation, death, or removal of a director in certain circumstances. </w:t>
      </w:r>
      <w:r>
        <w:rPr>
          <w:rFonts w:ascii="Arial" w:cs="Arial" w:eastAsia="Arial" w:hAnsi="Arial"/>
          <w:sz w:val="18"/>
          <w:szCs w:val="18"/>
          <w:b w:val="1"/>
          <w:bCs w:val="1"/>
          <w:i w:val="1"/>
          <w:iCs w:val="1"/>
          <w:color w:val="auto"/>
        </w:rPr>
        <w:t>Undesignated Preferred Stock</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authorized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Charter provides that no member of our board of directors may be removed from office by our stockholders except for cause and, in addition to any other vote required by law, upon the approval of the holders of at least a majority in voting power of the outstanding shares of stock entitled to vote in the election of directors.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Exchange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and warrants currently trade on the Nasdaq Capital Market under the symbols “ASLE” and “ASLEW”,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98" w:name="page99"/>
    <w:bookmarkEnd w:id="98"/>
    <w:p>
      <w:pPr>
        <w:ind w:left="10020"/>
        <w:spacing w:after="0"/>
        <w:rPr>
          <w:sz w:val="20"/>
          <w:szCs w:val="20"/>
          <w:color w:val="auto"/>
        </w:rPr>
      </w:pPr>
      <w:r>
        <w:rPr>
          <w:rFonts w:ascii="Arial" w:cs="Arial" w:eastAsia="Arial" w:hAnsi="Arial"/>
          <w:sz w:val="19"/>
          <w:szCs w:val="19"/>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3025775" cy="9512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302577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Nicolas Finazzo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8545 Old Cutler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Coral Gables, 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33143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Continued AerSale Employment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Nicolas:</w:t>
      </w:r>
    </w:p>
    <w:p>
      <w:pPr>
        <w:spacing w:after="0" w:line="22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are pleased to offer you continued employment with AerSale, Inc. (together with any of its subsidiaries and affiliates as may employ you from time to time, the “</w:t>
      </w:r>
      <w:r>
        <w:rPr>
          <w:rFonts w:ascii="Arial" w:cs="Arial" w:eastAsia="Arial" w:hAnsi="Arial"/>
          <w:sz w:val="18"/>
          <w:szCs w:val="18"/>
          <w:u w:val="single" w:color="auto"/>
          <w:color w:val="auto"/>
        </w:rPr>
        <w:t>Company</w:t>
      </w:r>
      <w:r>
        <w:rPr>
          <w:rFonts w:ascii="Arial" w:cs="Arial" w:eastAsia="Arial" w:hAnsi="Arial"/>
          <w:sz w:val="18"/>
          <w:szCs w:val="18"/>
          <w:color w:val="auto"/>
        </w:rPr>
        <w:t>”) on the terms and conditions set forth in this letter (the “</w:t>
      </w:r>
      <w:r>
        <w:rPr>
          <w:rFonts w:ascii="Arial" w:cs="Arial" w:eastAsia="Arial" w:hAnsi="Arial"/>
          <w:sz w:val="18"/>
          <w:szCs w:val="18"/>
          <w:u w:val="single" w:color="auto"/>
          <w:color w:val="auto"/>
        </w:rPr>
        <w:t>Letter</w:t>
      </w:r>
      <w:r>
        <w:rPr>
          <w:rFonts w:ascii="Arial" w:cs="Arial" w:eastAsia="Arial" w:hAnsi="Arial"/>
          <w:sz w:val="18"/>
          <w:szCs w:val="18"/>
          <w:color w:val="auto"/>
        </w:rPr>
        <w:t>”), to be effective upon the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day of December, 2020 as set forth below:</w:t>
      </w:r>
    </w:p>
    <w:p>
      <w:pPr>
        <w:spacing w:after="0" w:line="20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Chairman and Chief Executive Officer</w:t>
      </w:r>
    </w:p>
    <w:p>
      <w:pPr>
        <w:spacing w:after="0" w:line="225" w:lineRule="exact"/>
        <w:rPr>
          <w:rFonts w:ascii="Arial" w:cs="Arial" w:eastAsia="Arial" w:hAnsi="Arial"/>
          <w:sz w:val="18"/>
          <w:szCs w:val="18"/>
          <w:color w:val="auto"/>
        </w:rPr>
      </w:pPr>
    </w:p>
    <w:p>
      <w:pPr>
        <w:ind w:left="980" w:hanging="324"/>
        <w:spacing w:after="0" w:line="347"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Commencing December 23, 2020, your Base Salary will be paid at the biweekly rate of $38,461.53 (subject to any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withholdings), payable in accordance with the Company’s normal payroll practices, and subject to review and adjustment from time to time.</w:t>
      </w:r>
    </w:p>
    <w:p>
      <w:pPr>
        <w:spacing w:after="0" w:line="115" w:lineRule="exact"/>
        <w:rPr>
          <w:rFonts w:ascii="Arial" w:cs="Arial" w:eastAsia="Arial" w:hAnsi="Arial"/>
          <w:sz w:val="16"/>
          <w:szCs w:val="16"/>
          <w:color w:val="auto"/>
        </w:rPr>
      </w:pPr>
    </w:p>
    <w:p>
      <w:pPr>
        <w:jc w:val="both"/>
        <w:ind w:left="980" w:hanging="324"/>
        <w:spacing w:after="0" w:line="25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Target Bonus: </w:t>
      </w:r>
      <w:r>
        <w:rPr>
          <w:rFonts w:ascii="Arial" w:cs="Arial" w:eastAsia="Arial" w:hAnsi="Arial"/>
          <w:sz w:val="18"/>
          <w:szCs w:val="18"/>
          <w:color w:val="auto"/>
        </w:rPr>
        <w:t>Commencing with fiscal 2021, you will have an annual incentive cash bonus opportunity equal to 100% of your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Payment of the cash bonus in any fiscal year, if any, will be subject to the terms and conditions of the applicable bonus program, as the Company may establish from time to time (and will be subject to any applicable withholdings). Unless otherwise expressly provided in such program or the Severance Plan (as defined below), you must remain employed with the Company through the date of payment of any such bonus to be eligible to receive it.</w:t>
      </w:r>
    </w:p>
    <w:p>
      <w:pPr>
        <w:spacing w:after="0" w:line="183"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You will be eligible to receive equity awards under the Company’s equity incentive plan intended to be adopted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or following the Transaction, or any successor thereto, as determined by the Board of Directors of the Company (or a committee thereof) from time to time in its sole discretion.</w:t>
      </w:r>
    </w:p>
    <w:p>
      <w:pPr>
        <w:spacing w:after="0" w:line="175" w:lineRule="exact"/>
        <w:rPr>
          <w:rFonts w:ascii="Arial" w:cs="Arial" w:eastAsia="Arial" w:hAnsi="Arial"/>
          <w:sz w:val="18"/>
          <w:szCs w:val="18"/>
          <w:color w:val="auto"/>
        </w:rPr>
      </w:pPr>
    </w:p>
    <w:p>
      <w:pPr>
        <w:jc w:val="both"/>
        <w:ind w:left="980" w:hanging="324"/>
        <w:spacing w:after="0" w:line="29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Employee Benefits: </w:t>
      </w:r>
      <w:r>
        <w:rPr>
          <w:rFonts w:ascii="Arial" w:cs="Arial" w:eastAsia="Arial" w:hAnsi="Arial"/>
          <w:sz w:val="16"/>
          <w:szCs w:val="16"/>
          <w:color w:val="auto"/>
        </w:rPr>
        <w:t>You will continue to be eligible to participate in the Company’s employee health, welfare, and other fringe benefit and</w:t>
      </w:r>
      <w:r>
        <w:rPr>
          <w:rFonts w:ascii="Arial" w:cs="Arial" w:eastAsia="Arial" w:hAnsi="Arial"/>
          <w:sz w:val="16"/>
          <w:szCs w:val="16"/>
          <w:b w:val="1"/>
          <w:bCs w:val="1"/>
          <w:color w:val="auto"/>
        </w:rPr>
        <w:t xml:space="preserve"> </w:t>
      </w:r>
      <w:r>
        <w:rPr>
          <w:rFonts w:ascii="Arial" w:cs="Arial" w:eastAsia="Arial" w:hAnsi="Arial"/>
          <w:sz w:val="16"/>
          <w:szCs w:val="16"/>
          <w:color w:val="auto"/>
        </w:rPr>
        <w:t>perquisite programs, each as may be in effect from time to time and in accordance with their terms. The benefits shall include, without limitation, participation in a health care insurance plan you, your spouse, and any dependents thereof without any contribution. In addition, the Company shall provide you with the use of an automobile of your choice, to be leased by you at a cost not exceeding $1,500.00 per month, including all sales and other taxes. All expenses in connection with the use and operation of such vehicle shall be paid by the Company. To the extent that the provision of such a company-leased automobile or any health care insurance plan constitutes income under United States federal, state or local tax law or regulation, you shall be responsible for all income and other taxes due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953770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6995160" cy="411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9" w:name="page100"/>
    <w:bookmarkEnd w:id="99"/>
    <w:p>
      <w:pPr>
        <w:jc w:val="both"/>
        <w:ind w:left="980" w:hanging="324"/>
        <w:spacing w:after="0" w:line="277"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Severance Plan: </w:t>
      </w:r>
      <w:r>
        <w:rPr>
          <w:rFonts w:ascii="Arial" w:cs="Arial" w:eastAsia="Arial" w:hAnsi="Arial"/>
          <w:sz w:val="17"/>
          <w:szCs w:val="17"/>
          <w:color w:val="auto"/>
        </w:rPr>
        <w:t>You are eligible to participate in the AerSale Corporation Severance Plan (the “</w:t>
      </w:r>
      <w:r>
        <w:rPr>
          <w:rFonts w:ascii="Arial" w:cs="Arial" w:eastAsia="Arial" w:hAnsi="Arial"/>
          <w:sz w:val="17"/>
          <w:szCs w:val="17"/>
          <w:u w:val="single" w:color="auto"/>
          <w:color w:val="auto"/>
        </w:rPr>
        <w:t>Severance Plan</w:t>
      </w:r>
      <w:r>
        <w:rPr>
          <w:rFonts w:ascii="Arial" w:cs="Arial" w:eastAsia="Arial" w:hAnsi="Arial"/>
          <w:sz w:val="17"/>
          <w:szCs w:val="17"/>
          <w:color w:val="auto"/>
        </w:rPr>
        <w:t>”), a copy of which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 you receive any payments or benefits under the Severance Plan). You should read the entire Severance Plan carefully. Under the Severance Plan, your Severance Multiple, as that term is used therein, is 3 (three).</w:t>
      </w:r>
    </w:p>
    <w:p>
      <w:pPr>
        <w:spacing w:after="0" w:line="167" w:lineRule="exact"/>
        <w:rPr>
          <w:rFonts w:ascii="Arial" w:cs="Arial" w:eastAsia="Arial" w:hAnsi="Arial"/>
          <w:sz w:val="17"/>
          <w:szCs w:val="17"/>
          <w:color w:val="auto"/>
        </w:rPr>
      </w:pPr>
    </w:p>
    <w:p>
      <w:pPr>
        <w:jc w:val="both"/>
        <w:ind w:left="980" w:hanging="324"/>
        <w:spacing w:after="0" w:line="314"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CARES Act Limitations</w:t>
      </w:r>
      <w:r>
        <w:rPr>
          <w:rFonts w:ascii="Arial" w:cs="Arial" w:eastAsia="Arial" w:hAnsi="Arial"/>
          <w:sz w:val="16"/>
          <w:szCs w:val="16"/>
          <w:color w:val="auto"/>
        </w:rPr>
        <w:t>: You acknowledge that the Company may be required to reduce compensation and benefits paid or provided to you</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Coronavirus Aid, Relief, and Economic Security Act (as amended, the “</w:t>
      </w:r>
      <w:r>
        <w:rPr>
          <w:rFonts w:ascii="Arial" w:cs="Arial" w:eastAsia="Arial" w:hAnsi="Arial"/>
          <w:sz w:val="16"/>
          <w:szCs w:val="16"/>
          <w:u w:val="single" w:color="auto"/>
          <w:color w:val="auto"/>
        </w:rPr>
        <w:t>CARES Act</w:t>
      </w:r>
      <w:r>
        <w:rPr>
          <w:rFonts w:ascii="Arial" w:cs="Arial" w:eastAsia="Arial" w:hAnsi="Arial"/>
          <w:sz w:val="16"/>
          <w:szCs w:val="16"/>
          <w:color w:val="auto"/>
        </w:rPr>
        <w:t>”). You expressly agree to cooperate with the Company to effectuate any such reductions, solely to the extent required by the provisions of the CARES Act as applicable to the Company.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At-Will Nature of Employment</w:t>
      </w:r>
      <w:r>
        <w:rPr>
          <w:rFonts w:ascii="Arial" w:cs="Arial" w:eastAsia="Arial" w:hAnsi="Arial"/>
          <w:sz w:val="18"/>
          <w:szCs w:val="18"/>
          <w:color w:val="auto"/>
        </w:rPr>
        <w:t>: Although we hope that your continued employment will be mutually rewarding for you and the Company, your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consideration of this offer of continued employment and your participation in the Severance Plan, by signing this letter where indicated below, you expressly acknowledge and agree that this Letter shall supersede in its entirety that certain Employment Agreement, by and between you and the Company, dated as of January 11, 2010 (the “</w:t>
      </w:r>
      <w:r>
        <w:rPr>
          <w:rFonts w:ascii="Arial" w:cs="Arial" w:eastAsia="Arial" w:hAnsi="Arial"/>
          <w:sz w:val="17"/>
          <w:szCs w:val="17"/>
          <w:u w:val="single" w:color="auto"/>
          <w:color w:val="auto"/>
        </w:rPr>
        <w:t>Prior Agreement</w:t>
      </w:r>
      <w:r>
        <w:rPr>
          <w:rFonts w:ascii="Arial" w:cs="Arial" w:eastAsia="Arial" w:hAnsi="Arial"/>
          <w:sz w:val="17"/>
          <w:szCs w:val="17"/>
          <w:color w:val="auto"/>
        </w:rPr>
        <w:t>”), and that neither you, the Company, nor any other person or entity shall have any liability (including, without limitation, any liability in the nature of severance or termination pay) with respect to the Prior Agreement upon or following the closing of the Transaction. Notwithstanding the foregoing, you remain eligible to receive a 2020 bonus as described in the Prior Agreement. For purposes of this Letter, the “Transaction” refers to the transaction contemplated by that certain Amended and Restated Agreement and Plan of Merger, by and among Monocle Acquisition Corporation, Monocle Merger Sub 1 Inc., Monocle Holdings Inc., Monocle Merger Sub 2 LLC, AerSale Corp., and, solely in its capacity as the Holder Representative therein, Leonard Green &amp; Partners, L.P., dated as of September 8, 2020, as the same may be amended from time to time, pursuant to which, among other things, Monocle Merger Sub 2 LLC will merge with and into AerSale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998220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6995160" cy="411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spacing w:after="0" w:line="263" w:lineRule="auto"/>
        <w:rPr>
          <w:sz w:val="20"/>
          <w:szCs w:val="20"/>
          <w:color w:val="auto"/>
        </w:rPr>
      </w:pPr>
      <w:r>
        <w:rPr>
          <w:rFonts w:ascii="Arial" w:cs="Arial" w:eastAsia="Arial" w:hAnsi="Arial"/>
          <w:sz w:val="18"/>
          <w:szCs w:val="18"/>
          <w:color w:val="auto"/>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You may not assign your rights or obligations to another entity or person.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Letter, together with the Severance Plan, constitutes our entire understanding and agreement regarding your continued employment by the Company, and supersedes all prior negotiations, communications, understandings, and agreements relating to the subject matter contained herein or therein, including, without limitation, the Prior Agreement.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This Letter shall be interpreted and construed in accordance with the laws of the State of Florida without regard to any conflicts of laws principles.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our continuing relationship.</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Please acknowledge your acceptance of the terms of this Letter by signing where indicated below and returning an executed copy to Vanessa Machado, SVP of HR.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040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Martin Garmendia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0466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20466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982980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6995160"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3025775" cy="9512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302577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B. Nichols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 La Gorce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Beach, 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33141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Continued AerSale Employment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Robert:</w:t>
      </w:r>
    </w:p>
    <w:p>
      <w:pPr>
        <w:spacing w:after="0" w:line="22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are pleased to offer you continued employment with AerSale, Inc. (together with any of its subsidiaries and affiliates as may employ you from time to time, the “</w:t>
      </w:r>
      <w:r>
        <w:rPr>
          <w:rFonts w:ascii="Arial" w:cs="Arial" w:eastAsia="Arial" w:hAnsi="Arial"/>
          <w:sz w:val="18"/>
          <w:szCs w:val="18"/>
          <w:u w:val="single" w:color="auto"/>
          <w:color w:val="auto"/>
        </w:rPr>
        <w:t>Company</w:t>
      </w:r>
      <w:r>
        <w:rPr>
          <w:rFonts w:ascii="Arial" w:cs="Arial" w:eastAsia="Arial" w:hAnsi="Arial"/>
          <w:sz w:val="18"/>
          <w:szCs w:val="18"/>
          <w:color w:val="auto"/>
        </w:rPr>
        <w:t>”) on the terms and conditions set forth in this letter (the “</w:t>
      </w:r>
      <w:r>
        <w:rPr>
          <w:rFonts w:ascii="Arial" w:cs="Arial" w:eastAsia="Arial" w:hAnsi="Arial"/>
          <w:sz w:val="18"/>
          <w:szCs w:val="18"/>
          <w:u w:val="single" w:color="auto"/>
          <w:color w:val="auto"/>
        </w:rPr>
        <w:t>Letter</w:t>
      </w:r>
      <w:r>
        <w:rPr>
          <w:rFonts w:ascii="Arial" w:cs="Arial" w:eastAsia="Arial" w:hAnsi="Arial"/>
          <w:sz w:val="18"/>
          <w:szCs w:val="18"/>
          <w:color w:val="auto"/>
        </w:rPr>
        <w:t>”), to be effective upon the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day of December, 2020 as set forth below:</w:t>
      </w:r>
    </w:p>
    <w:p>
      <w:pPr>
        <w:spacing w:after="0" w:line="200"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Vice Chairman &amp; President – Asset Management</w:t>
      </w:r>
    </w:p>
    <w:p>
      <w:pPr>
        <w:spacing w:after="0" w:line="225" w:lineRule="exact"/>
        <w:rPr>
          <w:rFonts w:ascii="Arial" w:cs="Arial" w:eastAsia="Arial" w:hAnsi="Arial"/>
          <w:sz w:val="18"/>
          <w:szCs w:val="18"/>
          <w:color w:val="auto"/>
        </w:rPr>
      </w:pPr>
    </w:p>
    <w:p>
      <w:pPr>
        <w:ind w:left="980" w:hanging="324"/>
        <w:spacing w:after="0" w:line="347"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Commencing December 23, 2020, your Base Salary will be paid at the biweekly rate of $19,320.27 (subject to any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withholdings), payable in accordance with the Company’s normal payroll practices, and subject to review and adjustment from time to time.</w:t>
      </w:r>
    </w:p>
    <w:p>
      <w:pPr>
        <w:spacing w:after="0" w:line="115" w:lineRule="exact"/>
        <w:rPr>
          <w:rFonts w:ascii="Arial" w:cs="Arial" w:eastAsia="Arial" w:hAnsi="Arial"/>
          <w:sz w:val="16"/>
          <w:szCs w:val="16"/>
          <w:color w:val="auto"/>
        </w:rPr>
      </w:pPr>
    </w:p>
    <w:p>
      <w:pPr>
        <w:jc w:val="both"/>
        <w:ind w:left="980" w:hanging="324"/>
        <w:spacing w:after="0" w:line="25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Target Bonus: </w:t>
      </w:r>
      <w:r>
        <w:rPr>
          <w:rFonts w:ascii="Arial" w:cs="Arial" w:eastAsia="Arial" w:hAnsi="Arial"/>
          <w:sz w:val="18"/>
          <w:szCs w:val="18"/>
          <w:color w:val="auto"/>
        </w:rPr>
        <w:t>Commencing with fiscal 2021, you will have an annual incentive cash bonus opportunity equal to 100% of your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Payment of the cash bonus in any fiscal year, if any, will be subject to the terms and conditions of the applicable bonus program, as the Company may establish from time to time (and will be subject to any applicable withholdings). Unless otherwise expressly provided in such program or the Severance Plan (as defined below), you must remain employed with the Company through the date of payment of any such bonus to be eligible to receive it.</w:t>
      </w:r>
    </w:p>
    <w:p>
      <w:pPr>
        <w:spacing w:after="0" w:line="183"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You will be eligible to receive equity awards under the Company’s equity incentive plan intended to be adopted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or following the Transaction, or any successor thereto, as determined by the Board of Directors of the Company (or a committee thereof) from time to time in its sole discretion.</w:t>
      </w:r>
    </w:p>
    <w:p>
      <w:pPr>
        <w:spacing w:after="0" w:line="175" w:lineRule="exact"/>
        <w:rPr>
          <w:rFonts w:ascii="Arial" w:cs="Arial" w:eastAsia="Arial" w:hAnsi="Arial"/>
          <w:sz w:val="18"/>
          <w:szCs w:val="18"/>
          <w:color w:val="auto"/>
        </w:rPr>
      </w:pPr>
    </w:p>
    <w:p>
      <w:pPr>
        <w:jc w:val="both"/>
        <w:ind w:left="980" w:hanging="324"/>
        <w:spacing w:after="0" w:line="29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Employee Benefits: </w:t>
      </w:r>
      <w:r>
        <w:rPr>
          <w:rFonts w:ascii="Arial" w:cs="Arial" w:eastAsia="Arial" w:hAnsi="Arial"/>
          <w:sz w:val="16"/>
          <w:szCs w:val="16"/>
          <w:color w:val="auto"/>
        </w:rPr>
        <w:t>You will continue to be eligible to participate in the Company’s employee health, welfare, and other fringe benefit and</w:t>
      </w:r>
      <w:r>
        <w:rPr>
          <w:rFonts w:ascii="Arial" w:cs="Arial" w:eastAsia="Arial" w:hAnsi="Arial"/>
          <w:sz w:val="16"/>
          <w:szCs w:val="16"/>
          <w:b w:val="1"/>
          <w:bCs w:val="1"/>
          <w:color w:val="auto"/>
        </w:rPr>
        <w:t xml:space="preserve"> </w:t>
      </w:r>
      <w:r>
        <w:rPr>
          <w:rFonts w:ascii="Arial" w:cs="Arial" w:eastAsia="Arial" w:hAnsi="Arial"/>
          <w:sz w:val="16"/>
          <w:szCs w:val="16"/>
          <w:color w:val="auto"/>
        </w:rPr>
        <w:t>perquisite programs, each as may be in effect from time to time and in accordance with their terms. The benefits shall include, without limitation, participation in a health care insurance plan you, your spouse, and any dependents thereof without any contribution. In addition, the Company shall provide you with the use of an automobile of your choice, to be leased by you at a cost not exceeding $1,500.00 per month, including all sales and other taxes. All expenses in connection with the use and operation of such vehicle shall be paid by the Company. To the extent that the provision of such a company-leased automobile or any health care insurance plan constitutes income under United States federal, state or local tax law or regulation, you shall be responsible for all income and other taxes due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953770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6995160" cy="411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2" w:name="page103"/>
    <w:bookmarkEnd w:id="102"/>
    <w:p>
      <w:pPr>
        <w:jc w:val="both"/>
        <w:ind w:left="980" w:hanging="324"/>
        <w:spacing w:after="0" w:line="277"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Severance Plan: </w:t>
      </w:r>
      <w:r>
        <w:rPr>
          <w:rFonts w:ascii="Arial" w:cs="Arial" w:eastAsia="Arial" w:hAnsi="Arial"/>
          <w:sz w:val="17"/>
          <w:szCs w:val="17"/>
          <w:color w:val="auto"/>
        </w:rPr>
        <w:t>You are eligible to participate in the AerSale Corporation Severance Plan (the “</w:t>
      </w:r>
      <w:r>
        <w:rPr>
          <w:rFonts w:ascii="Arial" w:cs="Arial" w:eastAsia="Arial" w:hAnsi="Arial"/>
          <w:sz w:val="17"/>
          <w:szCs w:val="17"/>
          <w:u w:val="single" w:color="auto"/>
          <w:color w:val="auto"/>
        </w:rPr>
        <w:t>Severance Plan</w:t>
      </w:r>
      <w:r>
        <w:rPr>
          <w:rFonts w:ascii="Arial" w:cs="Arial" w:eastAsia="Arial" w:hAnsi="Arial"/>
          <w:sz w:val="17"/>
          <w:szCs w:val="17"/>
          <w:color w:val="auto"/>
        </w:rPr>
        <w:t>”), a copy of which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 you receive any payments or benefits under the Severance Plan). You should read the entire Severance Plan carefully. Under the Severance Plan, your Severance Multiple, as that term is used therein, is 3 (three).</w:t>
      </w:r>
    </w:p>
    <w:p>
      <w:pPr>
        <w:spacing w:after="0" w:line="167" w:lineRule="exact"/>
        <w:rPr>
          <w:rFonts w:ascii="Arial" w:cs="Arial" w:eastAsia="Arial" w:hAnsi="Arial"/>
          <w:sz w:val="17"/>
          <w:szCs w:val="17"/>
          <w:color w:val="auto"/>
        </w:rPr>
      </w:pPr>
    </w:p>
    <w:p>
      <w:pPr>
        <w:jc w:val="both"/>
        <w:ind w:left="980" w:hanging="324"/>
        <w:spacing w:after="0" w:line="314"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CARES Act Limitations</w:t>
      </w:r>
      <w:r>
        <w:rPr>
          <w:rFonts w:ascii="Arial" w:cs="Arial" w:eastAsia="Arial" w:hAnsi="Arial"/>
          <w:sz w:val="16"/>
          <w:szCs w:val="16"/>
          <w:color w:val="auto"/>
        </w:rPr>
        <w:t>: You acknowledge that the Company may be required to reduce compensation and benefits paid or provided to you</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Coronavirus Aid, Relief, and Economic Security Act (as amended, the “</w:t>
      </w:r>
      <w:r>
        <w:rPr>
          <w:rFonts w:ascii="Arial" w:cs="Arial" w:eastAsia="Arial" w:hAnsi="Arial"/>
          <w:sz w:val="16"/>
          <w:szCs w:val="16"/>
          <w:u w:val="single" w:color="auto"/>
          <w:color w:val="auto"/>
        </w:rPr>
        <w:t>CARES Act</w:t>
      </w:r>
      <w:r>
        <w:rPr>
          <w:rFonts w:ascii="Arial" w:cs="Arial" w:eastAsia="Arial" w:hAnsi="Arial"/>
          <w:sz w:val="16"/>
          <w:szCs w:val="16"/>
          <w:color w:val="auto"/>
        </w:rPr>
        <w:t>”). You expressly agree to cooperate with the Company to effectuate any such reductions, solely to the extent required by the provisions of the CARES Act as applicable to the Company.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At-Will Nature of Employment</w:t>
      </w:r>
      <w:r>
        <w:rPr>
          <w:rFonts w:ascii="Arial" w:cs="Arial" w:eastAsia="Arial" w:hAnsi="Arial"/>
          <w:sz w:val="18"/>
          <w:szCs w:val="18"/>
          <w:color w:val="auto"/>
        </w:rPr>
        <w:t>: Although we hope that your continued employment will be mutually rewarding for you and the Company, your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consideration of this offer of continued employment and your participation in the Severance Plan, by signing this letter where indicated below, you expressly acknowledge and agree that this Letter shall supersede in its entirety that certain Employment Agreement, by and between you and the Company, dated as of January 11, 2010 (the “</w:t>
      </w:r>
      <w:r>
        <w:rPr>
          <w:rFonts w:ascii="Arial" w:cs="Arial" w:eastAsia="Arial" w:hAnsi="Arial"/>
          <w:sz w:val="17"/>
          <w:szCs w:val="17"/>
          <w:u w:val="single" w:color="auto"/>
          <w:color w:val="auto"/>
        </w:rPr>
        <w:t>Prior Agreement</w:t>
      </w:r>
      <w:r>
        <w:rPr>
          <w:rFonts w:ascii="Arial" w:cs="Arial" w:eastAsia="Arial" w:hAnsi="Arial"/>
          <w:sz w:val="17"/>
          <w:szCs w:val="17"/>
          <w:color w:val="auto"/>
        </w:rPr>
        <w:t>”), and that neither you, the Company, nor any other person or entity shall have any liability (including, without limitation, any liability in the nature of severance or termination pay) with respect to the Prior Agreement upon or following the closing of the Transaction. Notwithstanding the foregoing, you remain eligible to receive a 2020 bonus as described in the Prior Agreement. For purposes of this Letter, the “Transaction” refers to the transaction contemplated by that certain Amended and Restated Agreement and Plan of Merger, by and among Monocle Acquisition Corporation, Monocle Merger Sub 1 Inc., Monocle Holdings Inc., Monocle Merger Sub 2 LLC, AerSale Corp., and, solely in its capacity as the Holder Representative therein, Leonard Green &amp; Partners, L.P., dated as of September 8, 2020, as the same may be amended from time to time, pursuant to which, among other things, Monocle Merger Sub 2 LLC will merge with and into AerSale Corp.</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You may not assign your rights or obligations to another entity or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1000125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6995160" cy="411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spacing w:after="0" w:line="263" w:lineRule="auto"/>
        <w:rPr>
          <w:sz w:val="20"/>
          <w:szCs w:val="20"/>
          <w:color w:val="auto"/>
        </w:rPr>
      </w:pPr>
      <w:r>
        <w:rPr>
          <w:rFonts w:ascii="Arial" w:cs="Arial" w:eastAsia="Arial" w:hAnsi="Arial"/>
          <w:sz w:val="18"/>
          <w:szCs w:val="18"/>
          <w:color w:val="auto"/>
        </w:rPr>
        <w:t>This Letter, together with the Severance Plan, constitutes our entire understanding and agreement regarding your continued employment by the Company, and supersedes all prior negotiations, communications, understandings, and agreements relating to the subject matter contained herein or therein, including, without limitation, the Prior Agreement.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This Letter shall be interpreted and construed in accordance with the laws of the State of Florida without regard to any conflicts of laws principles.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our continuing relationship.</w:t>
      </w:r>
    </w:p>
    <w:p>
      <w:pPr>
        <w:spacing w:after="0" w:line="200" w:lineRule="exact"/>
        <w:rPr>
          <w:sz w:val="20"/>
          <w:szCs w:val="20"/>
          <w:color w:val="auto"/>
        </w:rPr>
      </w:pPr>
    </w:p>
    <w:p>
      <w:pPr>
        <w:spacing w:after="0" w:line="2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Please acknowledge your acceptance of the terms of this Letter by signing where indicated below and returning an executed copy to Vanessa Machado, SVP of HR.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Very truly yours,</w:t>
            </w:r>
          </w:p>
        </w:tc>
        <w:tc>
          <w:tcPr>
            <w:tcW w:w="4480" w:type="dxa"/>
            <w:vAlign w:val="bottom"/>
          </w:tcPr>
          <w:p>
            <w:pPr>
              <w:spacing w:after="0"/>
              <w:rPr>
                <w:sz w:val="20"/>
                <w:szCs w:val="20"/>
                <w:color w:val="auto"/>
              </w:rPr>
            </w:pPr>
            <w:r>
              <w:rPr>
                <w:rFonts w:ascii="Arial" w:cs="Arial" w:eastAsia="Arial" w:hAnsi="Arial"/>
                <w:sz w:val="18"/>
                <w:szCs w:val="18"/>
                <w:color w:val="auto"/>
              </w:rPr>
              <w:t>ACKNOWLEDGED AND AGREED:</w:t>
            </w:r>
          </w:p>
        </w:tc>
      </w:tr>
      <w:tr>
        <w:trPr>
          <w:trHeight w:val="432"/>
        </w:trPr>
        <w:tc>
          <w:tcPr>
            <w:tcW w:w="6760" w:type="dxa"/>
            <w:vAlign w:val="bottom"/>
            <w:gridSpan w:val="2"/>
          </w:tcPr>
          <w:p>
            <w:pPr>
              <w:ind w:left="60"/>
              <w:spacing w:after="0"/>
              <w:rPr>
                <w:sz w:val="20"/>
                <w:szCs w:val="20"/>
                <w:color w:val="auto"/>
              </w:rPr>
            </w:pPr>
            <w:r>
              <w:rPr>
                <w:rFonts w:ascii="Arial" w:cs="Arial" w:eastAsia="Arial" w:hAnsi="Arial"/>
                <w:sz w:val="18"/>
                <w:szCs w:val="18"/>
                <w:color w:val="auto"/>
              </w:rPr>
              <w:t>/s/ Nicolas Finazzo</w:t>
            </w:r>
          </w:p>
        </w:tc>
        <w:tc>
          <w:tcPr>
            <w:tcW w:w="4480" w:type="dxa"/>
            <w:vAlign w:val="bottom"/>
          </w:tcPr>
          <w:p>
            <w:pPr>
              <w:ind w:left="40"/>
              <w:spacing w:after="0"/>
              <w:rPr>
                <w:sz w:val="20"/>
                <w:szCs w:val="20"/>
                <w:color w:val="auto"/>
              </w:rPr>
            </w:pPr>
            <w:r>
              <w:rPr>
                <w:rFonts w:ascii="Arial" w:cs="Arial" w:eastAsia="Arial" w:hAnsi="Arial"/>
                <w:sz w:val="18"/>
                <w:szCs w:val="18"/>
                <w:color w:val="auto"/>
              </w:rPr>
              <w:t>/s/ Robert Nichols</w:t>
            </w:r>
          </w:p>
        </w:tc>
      </w:tr>
      <w:tr>
        <w:trPr>
          <w:trHeight w:val="191"/>
        </w:trPr>
        <w:tc>
          <w:tcPr>
            <w:tcW w:w="45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Nicolas Finazzo</w:t>
            </w:r>
          </w:p>
        </w:tc>
        <w:tc>
          <w:tcPr>
            <w:tcW w:w="226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Robert Nichols</w:t>
            </w:r>
          </w:p>
        </w:tc>
      </w:tr>
      <w:tr>
        <w:trPr>
          <w:trHeight w:val="234"/>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Chairman &amp; Chief Executive Officer</w:t>
            </w:r>
          </w:p>
        </w:tc>
        <w:tc>
          <w:tcPr>
            <w:tcW w:w="4480" w:type="dxa"/>
            <w:vAlign w:val="bottom"/>
          </w:tcPr>
          <w:p>
            <w:pPr>
              <w:spacing w:after="0"/>
              <w:rPr>
                <w:sz w:val="20"/>
                <w:szCs w:val="20"/>
                <w:color w:val="auto"/>
              </w:rPr>
            </w:pPr>
          </w:p>
        </w:tc>
      </w:tr>
      <w:tr>
        <w:trPr>
          <w:trHeight w:val="1593"/>
        </w:trPr>
        <w:tc>
          <w:tcPr>
            <w:tcW w:w="4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-711200</wp:posOffset>
            </wp:positionV>
            <wp:extent cx="6995160" cy="411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025775" cy="9512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302577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Martin Garmendia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9321 SW 102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33176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Continued AerSale Employment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Martin:</w:t>
      </w:r>
    </w:p>
    <w:p>
      <w:pPr>
        <w:spacing w:after="0" w:line="22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are pleased to offer you continued employment with AerSale, Inc. (together with any of its subsidiaries and affiliates as may employ you from time to time, the “</w:t>
      </w:r>
      <w:r>
        <w:rPr>
          <w:rFonts w:ascii="Arial" w:cs="Arial" w:eastAsia="Arial" w:hAnsi="Arial"/>
          <w:sz w:val="18"/>
          <w:szCs w:val="18"/>
          <w:u w:val="single" w:color="auto"/>
          <w:color w:val="auto"/>
        </w:rPr>
        <w:t>Company</w:t>
      </w:r>
      <w:r>
        <w:rPr>
          <w:rFonts w:ascii="Arial" w:cs="Arial" w:eastAsia="Arial" w:hAnsi="Arial"/>
          <w:sz w:val="18"/>
          <w:szCs w:val="18"/>
          <w:color w:val="auto"/>
        </w:rPr>
        <w:t>”) on the terms and conditions set forth in this letter (the “</w:t>
      </w:r>
      <w:r>
        <w:rPr>
          <w:rFonts w:ascii="Arial" w:cs="Arial" w:eastAsia="Arial" w:hAnsi="Arial"/>
          <w:sz w:val="18"/>
          <w:szCs w:val="18"/>
          <w:u w:val="single" w:color="auto"/>
          <w:color w:val="auto"/>
        </w:rPr>
        <w:t>Letter</w:t>
      </w:r>
      <w:r>
        <w:rPr>
          <w:rFonts w:ascii="Arial" w:cs="Arial" w:eastAsia="Arial" w:hAnsi="Arial"/>
          <w:sz w:val="18"/>
          <w:szCs w:val="18"/>
          <w:color w:val="auto"/>
        </w:rPr>
        <w:t>”), to be effective upon the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day of December, 2020 as set forth below:</w:t>
      </w:r>
    </w:p>
    <w:p>
      <w:pPr>
        <w:spacing w:after="0" w:line="20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Chief Financial Officer reporting to Nicolas Finazzo.</w:t>
      </w:r>
    </w:p>
    <w:p>
      <w:pPr>
        <w:spacing w:after="0" w:line="225"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Your Base Salary will be paid at the biweekly rate of $11,538.46 (subject to any applicable withholdings),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normal payroll practices, and subject to review and adjustment from time to time.</w:t>
      </w:r>
    </w:p>
    <w:p>
      <w:pPr>
        <w:spacing w:after="0" w:line="161" w:lineRule="exact"/>
        <w:rPr>
          <w:rFonts w:ascii="Arial" w:cs="Arial" w:eastAsia="Arial" w:hAnsi="Arial"/>
          <w:sz w:val="18"/>
          <w:szCs w:val="18"/>
          <w:color w:val="auto"/>
        </w:rPr>
      </w:pPr>
    </w:p>
    <w:p>
      <w:pPr>
        <w:jc w:val="both"/>
        <w:ind w:left="980" w:hanging="324"/>
        <w:spacing w:after="0" w:line="25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Target Bonus: </w:t>
      </w:r>
      <w:r>
        <w:rPr>
          <w:rFonts w:ascii="Arial" w:cs="Arial" w:eastAsia="Arial" w:hAnsi="Arial"/>
          <w:sz w:val="18"/>
          <w:szCs w:val="18"/>
          <w:color w:val="auto"/>
        </w:rPr>
        <w:t>Commencing with fiscal 2021, you will have an annual incentive cash bonus opportunity equal to 50% of your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Payment of the cash bonus in any fiscal year, if any, will be subject to the terms and conditions of the applicable bonus program, as the Company may establish from time to time (and will be subject to any applicable withholdings). Unless otherwise expressly provided in such program or the Severance Plan (as defined below), you must remain employed with the Company through the date of payment of any such bonus to be eligible to receive it.</w:t>
      </w:r>
    </w:p>
    <w:p>
      <w:pPr>
        <w:spacing w:after="0" w:line="183"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You will be eligible to receive equity awards under the Company’s equity incentive plan intended to be adopted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or following the Transaction, or any successor thereto, as determined by the Board of Directors of the Company (or a committee thereof) from time to time in its sole discretion.</w:t>
      </w:r>
    </w:p>
    <w:p>
      <w:pPr>
        <w:spacing w:after="0" w:line="175"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color w:val="auto"/>
        </w:rPr>
        <w:t>You will continue to be eligible to participate in the Company’s employee health, welfare, and other fringe benefit and</w:t>
      </w:r>
      <w:r>
        <w:rPr>
          <w:rFonts w:ascii="Arial" w:cs="Arial" w:eastAsia="Arial" w:hAnsi="Arial"/>
          <w:sz w:val="18"/>
          <w:szCs w:val="18"/>
          <w:b w:val="1"/>
          <w:bCs w:val="1"/>
          <w:color w:val="auto"/>
        </w:rPr>
        <w:t xml:space="preserve"> </w:t>
      </w:r>
      <w:r>
        <w:rPr>
          <w:rFonts w:ascii="Arial" w:cs="Arial" w:eastAsia="Arial" w:hAnsi="Arial"/>
          <w:sz w:val="18"/>
          <w:szCs w:val="18"/>
          <w:color w:val="auto"/>
        </w:rPr>
        <w:t>perquisite programs, each as may be in effect from time to time and in accordance with their terms.</w:t>
      </w:r>
    </w:p>
    <w:p>
      <w:pPr>
        <w:spacing w:after="0" w:line="161" w:lineRule="exact"/>
        <w:rPr>
          <w:rFonts w:ascii="Arial" w:cs="Arial" w:eastAsia="Arial" w:hAnsi="Arial"/>
          <w:sz w:val="18"/>
          <w:szCs w:val="18"/>
          <w:color w:val="auto"/>
        </w:rPr>
      </w:pPr>
    </w:p>
    <w:p>
      <w:pPr>
        <w:jc w:val="both"/>
        <w:ind w:left="980" w:hanging="324"/>
        <w:spacing w:after="0" w:line="277"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Severance Plan: </w:t>
      </w:r>
      <w:r>
        <w:rPr>
          <w:rFonts w:ascii="Arial" w:cs="Arial" w:eastAsia="Arial" w:hAnsi="Arial"/>
          <w:sz w:val="17"/>
          <w:szCs w:val="17"/>
          <w:color w:val="auto"/>
        </w:rPr>
        <w:t>You are eligible to participate in the AerSale Corporation Severance Plan (the “</w:t>
      </w:r>
      <w:r>
        <w:rPr>
          <w:rFonts w:ascii="Arial" w:cs="Arial" w:eastAsia="Arial" w:hAnsi="Arial"/>
          <w:sz w:val="17"/>
          <w:szCs w:val="17"/>
          <w:u w:val="single" w:color="auto"/>
          <w:color w:val="auto"/>
        </w:rPr>
        <w:t>Severance Plan</w:t>
      </w:r>
      <w:r>
        <w:rPr>
          <w:rFonts w:ascii="Arial" w:cs="Arial" w:eastAsia="Arial" w:hAnsi="Arial"/>
          <w:sz w:val="17"/>
          <w:szCs w:val="17"/>
          <w:color w:val="auto"/>
        </w:rPr>
        <w:t>”), a copy of which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 you receive any payments or benefits under the Severance Plan). You should read the entire Severance Plan carefully. Under the Severance Plan your Severance Multiple, as that term is used therein, is One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6995160" cy="411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both"/>
        <w:ind w:left="980" w:hanging="324"/>
        <w:spacing w:after="0" w:line="314"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CARES Act Limitations</w:t>
      </w:r>
      <w:r>
        <w:rPr>
          <w:rFonts w:ascii="Arial" w:cs="Arial" w:eastAsia="Arial" w:hAnsi="Arial"/>
          <w:sz w:val="16"/>
          <w:szCs w:val="16"/>
          <w:color w:val="auto"/>
        </w:rPr>
        <w:t>: You acknowledge that the Company may be required to reduce compensation and benefits paid or provided to you</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Coronavirus Aid, Relief, and Economic Security Act (as amended, the “</w:t>
      </w:r>
      <w:r>
        <w:rPr>
          <w:rFonts w:ascii="Arial" w:cs="Arial" w:eastAsia="Arial" w:hAnsi="Arial"/>
          <w:sz w:val="16"/>
          <w:szCs w:val="16"/>
          <w:u w:val="single" w:color="auto"/>
          <w:color w:val="auto"/>
        </w:rPr>
        <w:t>CARES Act</w:t>
      </w:r>
      <w:r>
        <w:rPr>
          <w:rFonts w:ascii="Arial" w:cs="Arial" w:eastAsia="Arial" w:hAnsi="Arial"/>
          <w:sz w:val="16"/>
          <w:szCs w:val="16"/>
          <w:color w:val="auto"/>
        </w:rPr>
        <w:t>”). You expressly agree to cooperate with the Company to effectuate any such reductions, solely to the extent required by the provisions of the CARES Act as applicable to the Company.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At-Will Nature of Employment: Although we hope that your continued employment will be mutually rewarding for you and the Company, your 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consideration of this offer of continued employment and your participation in the Severance Plan, by signing this letter where indicated below, you expressly acknowledge and agree that this Letter shall supersede in its entirety that certain Employment Agreement, by and between you and the Company, dated as of January, 01 2019 (the “</w:t>
      </w:r>
      <w:r>
        <w:rPr>
          <w:rFonts w:ascii="Arial" w:cs="Arial" w:eastAsia="Arial" w:hAnsi="Arial"/>
          <w:sz w:val="17"/>
          <w:szCs w:val="17"/>
          <w:u w:val="single" w:color="auto"/>
          <w:color w:val="auto"/>
        </w:rPr>
        <w:t>Prior Agreement</w:t>
      </w:r>
      <w:r>
        <w:rPr>
          <w:rFonts w:ascii="Arial" w:cs="Arial" w:eastAsia="Arial" w:hAnsi="Arial"/>
          <w:sz w:val="17"/>
          <w:szCs w:val="17"/>
          <w:color w:val="auto"/>
        </w:rPr>
        <w:t>”), and that neither you, the Company, nor any other person or entity shall have any liability (including, without limitation, any liability in the nature of severance or termination pay) with respect to the Prior Agreement upon or following the closing of the Transaction. Notwithstanding the foregoing, you remain eligible to receive a 2020 bonus as described in the Prior Agreement. For purposes of this Letter, the “Transaction” refers to the transaction contemplated by that certain Amended and Restated Agreement and Plan of Merger, by and among Monocle Acquisition Corporation, Monocle Merger Sub 1 Inc., Monocle Holdings Inc., Monocle Merger Sub 2 LLC, AerSale Corp., and, solely in its capacity as the Holder Representative therein, Leonard Green &amp; Partners, L.P., dated as of September 8, 2020, as the same may be amended from time to time, pursuant to which, among other things, Monocle Merger Sub 2 LLC will merge with and into AerSale Corp.</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You may not assign your rights or obligations to another entity or person.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Letter, together with the Severance Plan, constitutes our entire understanding and agreement regarding your continued employment by the Company, and supersedes all prior negotiations, communications, understandings, and agreements relating to the subject matter contained herein or therein, including, without limitation, the Prior Agreement.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This Letter shall be interpreted and construed in accordance with the laws of the State of Florida without regard to any conflicts of laws principles.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our continuing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1026160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6995160" cy="411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spacing w:after="0" w:line="277" w:lineRule="auto"/>
        <w:rPr>
          <w:sz w:val="20"/>
          <w:szCs w:val="20"/>
          <w:color w:val="auto"/>
        </w:rPr>
      </w:pPr>
      <w:r>
        <w:rPr>
          <w:rFonts w:ascii="Arial" w:cs="Arial" w:eastAsia="Arial" w:hAnsi="Arial"/>
          <w:sz w:val="18"/>
          <w:szCs w:val="18"/>
          <w:color w:val="auto"/>
        </w:rPr>
        <w:t>Please acknowledge your acceptance of the terms of this Letter by signing where indicated below and returning an executed copy to Vanessa Machado, SVP of HR.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609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21609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Nicolas Finazzo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831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21831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6995160" cy="411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0900"/>
          </w:cols>
          <w:pgMar w:left="320" w:top="908" w:right="679" w:bottom="1440" w:gutter="0" w:footer="0" w:header="0"/>
        </w:sectPr>
      </w:pPr>
    </w:p>
    <w:bookmarkStart w:id="107" w:name="page108"/>
    <w:bookmarkEnd w:id="107"/>
    <w:p>
      <w:pPr>
        <w:ind w:left="10020"/>
        <w:spacing w:after="0"/>
        <w:rPr>
          <w:sz w:val="20"/>
          <w:szCs w:val="20"/>
          <w:color w:val="auto"/>
        </w:rPr>
      </w:pPr>
      <w:r>
        <w:rPr>
          <w:rFonts w:ascii="Arial" w:cs="Arial" w:eastAsia="Arial" w:hAnsi="Arial"/>
          <w:sz w:val="19"/>
          <w:szCs w:val="19"/>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3025775" cy="9512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302577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Basil Barimo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2960 Bird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Coconut Grove, 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33133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Continued AerSale Employment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Dear Basil:</w:t>
      </w:r>
    </w:p>
    <w:p>
      <w:pPr>
        <w:spacing w:after="0" w:line="22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are pleased to offer you continued employment with AerSale, Inc. (together with any of its subsidiaries and affiliates as may employ you from time to time, the “</w:t>
      </w:r>
      <w:r>
        <w:rPr>
          <w:rFonts w:ascii="Arial" w:cs="Arial" w:eastAsia="Arial" w:hAnsi="Arial"/>
          <w:sz w:val="18"/>
          <w:szCs w:val="18"/>
          <w:u w:val="single" w:color="auto"/>
          <w:color w:val="auto"/>
        </w:rPr>
        <w:t>Company</w:t>
      </w:r>
      <w:r>
        <w:rPr>
          <w:rFonts w:ascii="Arial" w:cs="Arial" w:eastAsia="Arial" w:hAnsi="Arial"/>
          <w:sz w:val="18"/>
          <w:szCs w:val="18"/>
          <w:color w:val="auto"/>
        </w:rPr>
        <w:t>”) on the terms and conditions set forth in this letter (the “</w:t>
      </w:r>
      <w:r>
        <w:rPr>
          <w:rFonts w:ascii="Arial" w:cs="Arial" w:eastAsia="Arial" w:hAnsi="Arial"/>
          <w:sz w:val="18"/>
          <w:szCs w:val="18"/>
          <w:u w:val="single" w:color="auto"/>
          <w:color w:val="auto"/>
        </w:rPr>
        <w:t>Letter</w:t>
      </w:r>
      <w:r>
        <w:rPr>
          <w:rFonts w:ascii="Arial" w:cs="Arial" w:eastAsia="Arial" w:hAnsi="Arial"/>
          <w:sz w:val="18"/>
          <w:szCs w:val="18"/>
          <w:color w:val="auto"/>
        </w:rPr>
        <w:t>”), to be effective upon the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day of December, 2020 as set forth below:</w:t>
      </w:r>
    </w:p>
    <w:p>
      <w:pPr>
        <w:spacing w:after="0" w:line="200"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President of MRO Services reporting to Nicolas Finazzo.</w:t>
      </w:r>
    </w:p>
    <w:p>
      <w:pPr>
        <w:spacing w:after="0" w:line="225"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Your Base Salary will be paid at the biweekly rate of $13,461.54 (subject to any applicable withholdings),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normal payroll practices, and subject to review and adjustment from time to time.</w:t>
      </w:r>
    </w:p>
    <w:p>
      <w:pPr>
        <w:spacing w:after="0" w:line="161" w:lineRule="exact"/>
        <w:rPr>
          <w:rFonts w:ascii="Arial" w:cs="Arial" w:eastAsia="Arial" w:hAnsi="Arial"/>
          <w:sz w:val="18"/>
          <w:szCs w:val="18"/>
          <w:color w:val="auto"/>
        </w:rPr>
      </w:pPr>
    </w:p>
    <w:p>
      <w:pPr>
        <w:jc w:val="both"/>
        <w:ind w:left="980" w:hanging="324"/>
        <w:spacing w:after="0" w:line="258"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Target Bonus: </w:t>
      </w:r>
      <w:r>
        <w:rPr>
          <w:rFonts w:ascii="Arial" w:cs="Arial" w:eastAsia="Arial" w:hAnsi="Arial"/>
          <w:sz w:val="18"/>
          <w:szCs w:val="18"/>
          <w:color w:val="auto"/>
        </w:rPr>
        <w:t>Commencing with fiscal 2021, you will have an annual incentive cash bonus opportunity equal to 50% of your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Payment of the cash bonus in any fiscal year, if any, will be subject to the terms and conditions of the applicable bonus program, as the Company may establish from time to time (and will be subject to any applicable withholdings). Unless otherwise expressly provided in such program or the Severance Plan (as defined below), you must remain employed with the Company through the date of payment of any such bonus to be eligible to receive it.</w:t>
      </w:r>
    </w:p>
    <w:p>
      <w:pPr>
        <w:spacing w:after="0" w:line="183"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You will be eligible to receive equity awards under the Company’s equity incentive plan intended to be adopted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or following the Transaction, or any successor thereto, as determined by the Board of Directors of the Company (or a committee thereof) from time to time in its sole discretion.</w:t>
      </w:r>
    </w:p>
    <w:p>
      <w:pPr>
        <w:spacing w:after="0" w:line="175"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color w:val="auto"/>
        </w:rPr>
        <w:t>You will continue to be eligible to participate in the Company’s employee health, welfare, and other fringe benefit and</w:t>
      </w:r>
      <w:r>
        <w:rPr>
          <w:rFonts w:ascii="Arial" w:cs="Arial" w:eastAsia="Arial" w:hAnsi="Arial"/>
          <w:sz w:val="18"/>
          <w:szCs w:val="18"/>
          <w:b w:val="1"/>
          <w:bCs w:val="1"/>
          <w:color w:val="auto"/>
        </w:rPr>
        <w:t xml:space="preserve"> </w:t>
      </w:r>
      <w:r>
        <w:rPr>
          <w:rFonts w:ascii="Arial" w:cs="Arial" w:eastAsia="Arial" w:hAnsi="Arial"/>
          <w:sz w:val="18"/>
          <w:szCs w:val="18"/>
          <w:color w:val="auto"/>
        </w:rPr>
        <w:t>perquisite programs, each as may be in effect from time to time and in accordance with their terms.</w:t>
      </w:r>
    </w:p>
    <w:p>
      <w:pPr>
        <w:spacing w:after="0" w:line="161" w:lineRule="exact"/>
        <w:rPr>
          <w:rFonts w:ascii="Arial" w:cs="Arial" w:eastAsia="Arial" w:hAnsi="Arial"/>
          <w:sz w:val="18"/>
          <w:szCs w:val="18"/>
          <w:color w:val="auto"/>
        </w:rPr>
      </w:pPr>
    </w:p>
    <w:p>
      <w:pPr>
        <w:jc w:val="both"/>
        <w:ind w:left="980" w:hanging="324"/>
        <w:spacing w:after="0" w:line="277"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Severance Plan: </w:t>
      </w:r>
      <w:r>
        <w:rPr>
          <w:rFonts w:ascii="Arial" w:cs="Arial" w:eastAsia="Arial" w:hAnsi="Arial"/>
          <w:sz w:val="17"/>
          <w:szCs w:val="17"/>
          <w:color w:val="auto"/>
        </w:rPr>
        <w:t>You are eligible to participate in the AerSale Corporation Severance Plan (the “</w:t>
      </w:r>
      <w:r>
        <w:rPr>
          <w:rFonts w:ascii="Arial" w:cs="Arial" w:eastAsia="Arial" w:hAnsi="Arial"/>
          <w:sz w:val="17"/>
          <w:szCs w:val="17"/>
          <w:u w:val="single" w:color="auto"/>
          <w:color w:val="auto"/>
        </w:rPr>
        <w:t>Severance Plan</w:t>
      </w:r>
      <w:r>
        <w:rPr>
          <w:rFonts w:ascii="Arial" w:cs="Arial" w:eastAsia="Arial" w:hAnsi="Arial"/>
          <w:sz w:val="17"/>
          <w:szCs w:val="17"/>
          <w:color w:val="auto"/>
        </w:rPr>
        <w:t>”), a copy of which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 you receive any payments or benefits under the Severance Plan. You should read the entire Severance Plan carefully. Under the Severance Plan your Severance Multiple, as that term is used therein, is Two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6995160" cy="411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8" w:name="page109"/>
    <w:bookmarkEnd w:id="108"/>
    <w:p>
      <w:pPr>
        <w:jc w:val="both"/>
        <w:spacing w:after="0" w:line="259" w:lineRule="auto"/>
        <w:rPr>
          <w:sz w:val="20"/>
          <w:szCs w:val="20"/>
          <w:color w:val="auto"/>
        </w:rPr>
      </w:pPr>
      <w:r>
        <w:rPr>
          <w:rFonts w:ascii="Arial" w:cs="Arial" w:eastAsia="Arial" w:hAnsi="Arial"/>
          <w:sz w:val="18"/>
          <w:szCs w:val="18"/>
          <w:color w:val="auto"/>
        </w:rPr>
        <w:t>At-Will Nature of Employment: Although we hope that your continued employment will be mutually rewarding for you and the Company, your 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consideration of this offer of continued employment and your participation in the Severance Plan, by signing this letter where indicated below, you expressly acknowledge and agree that this Letter shall supersede in its entirety that certain Employment Agreement, by and between you and the Company, dated as of January, 01 2019 (the “</w:t>
      </w:r>
      <w:r>
        <w:rPr>
          <w:rFonts w:ascii="Arial" w:cs="Arial" w:eastAsia="Arial" w:hAnsi="Arial"/>
          <w:sz w:val="17"/>
          <w:szCs w:val="17"/>
          <w:u w:val="single" w:color="auto"/>
          <w:color w:val="auto"/>
        </w:rPr>
        <w:t>Prior Agreement</w:t>
      </w:r>
      <w:r>
        <w:rPr>
          <w:rFonts w:ascii="Arial" w:cs="Arial" w:eastAsia="Arial" w:hAnsi="Arial"/>
          <w:sz w:val="17"/>
          <w:szCs w:val="17"/>
          <w:color w:val="auto"/>
        </w:rPr>
        <w:t>”), and that neither you, the Company, nor any other person or entity shall have any liability (including, without limitation, any liability in the nature of severance or termination pay) with respect to the Prior Agreement upon or following the closing of the Transaction. Notwithstanding the foregoing, you remain eligible to receive a 2020 bonus as described in the Prior Agreement. For purposes of this Letter, the “Transaction” refers to the transaction contemplated by that certain Amended and Restated Agreement and Plan of Merger, by and among Monocle Acquisition Corporation, Monocle Merger Sub 1 Inc., Monocle Holdings Inc., Monocle Merger Sub 2 LLC, AerSale Corp., and, solely in its capacity as the Holder Representative therein, Leonard Green &amp; Partners, L.P., dated as of September 8, 2020, as the same may be amended from time to time, pursuant to which, among other things, Monocle Merger Sub 2 LLC will merge with and into AerSale Corp.</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You may not assign your rights or obligations to another entity or person.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Letter, together with the Severance Plan, constitutes our entire understanding and agreement regarding your continued employment by the Company, and supersedes all prior negotiations, communications, understandings, and agreements relating to the subject matter contained herein or therein, including, without limitation, the Prior Agreement.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This Letter shall be interpreted and construed in accordance with the laws of the State of Florida without regard to any conflicts of laws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1033780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296545</wp:posOffset>
            </wp:positionV>
            <wp:extent cx="6995160" cy="411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spacing w:after="0" w:line="277" w:lineRule="auto"/>
        <w:rPr>
          <w:sz w:val="20"/>
          <w:szCs w:val="20"/>
          <w:color w:val="auto"/>
        </w:rPr>
      </w:pPr>
      <w:r>
        <w:rPr>
          <w:rFonts w:ascii="Arial" w:cs="Arial" w:eastAsia="Arial" w:hAnsi="Arial"/>
          <w:sz w:val="18"/>
          <w:szCs w:val="18"/>
          <w:color w:val="auto"/>
        </w:rPr>
        <w:t>We look forward to our continuing relationship. Please acknowledge your acceptance of the terms of this Letter by signing where indicated below and returning an executed copy to Vanessa Machado, SVP of HR.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894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21894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Nicolas Finazzo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Basil Barimo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282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22282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Basil Barimo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1017270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6995160" cy="411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0820"/>
          </w:cols>
          <w:pgMar w:left="320" w:top="908" w:right="759" w:bottom="1440" w:gutter="0" w:footer="0" w:header="0"/>
        </w:sectPr>
      </w:pPr>
    </w:p>
    <w:bookmarkStart w:id="110" w:name="page111"/>
    <w:bookmarkEnd w:id="110"/>
    <w:p>
      <w:pPr>
        <w:ind w:left="10020"/>
        <w:spacing w:after="0"/>
        <w:rPr>
          <w:sz w:val="20"/>
          <w:szCs w:val="20"/>
          <w:color w:val="auto"/>
        </w:rPr>
      </w:pPr>
      <w:r>
        <w:rPr>
          <w:rFonts w:ascii="Arial" w:cs="Arial" w:eastAsia="Arial" w:hAnsi="Arial"/>
          <w:sz w:val="19"/>
          <w:szCs w:val="19"/>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3025775" cy="9512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302577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Gary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2058 Mannin Circle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Nesbitt, 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38651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Continued AerSale Employment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Gary:</w:t>
      </w:r>
    </w:p>
    <w:p>
      <w:pPr>
        <w:spacing w:after="0" w:line="22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are pleased to offer you continued employment with AerSale, Inc. (together with any of its subsidiaries and affiliates as may employ you from time to time, the “</w:t>
      </w:r>
      <w:r>
        <w:rPr>
          <w:rFonts w:ascii="Arial" w:cs="Arial" w:eastAsia="Arial" w:hAnsi="Arial"/>
          <w:sz w:val="18"/>
          <w:szCs w:val="18"/>
          <w:u w:val="single" w:color="auto"/>
          <w:color w:val="auto"/>
        </w:rPr>
        <w:t>Company</w:t>
      </w:r>
      <w:r>
        <w:rPr>
          <w:rFonts w:ascii="Arial" w:cs="Arial" w:eastAsia="Arial" w:hAnsi="Arial"/>
          <w:sz w:val="18"/>
          <w:szCs w:val="18"/>
          <w:color w:val="auto"/>
        </w:rPr>
        <w:t>”) on the terms and conditions set forth in this letter (the “</w:t>
      </w:r>
      <w:r>
        <w:rPr>
          <w:rFonts w:ascii="Arial" w:cs="Arial" w:eastAsia="Arial" w:hAnsi="Arial"/>
          <w:sz w:val="18"/>
          <w:szCs w:val="18"/>
          <w:u w:val="single" w:color="auto"/>
          <w:color w:val="auto"/>
        </w:rPr>
        <w:t>Letter</w:t>
      </w:r>
      <w:r>
        <w:rPr>
          <w:rFonts w:ascii="Arial" w:cs="Arial" w:eastAsia="Arial" w:hAnsi="Arial"/>
          <w:sz w:val="18"/>
          <w:szCs w:val="18"/>
          <w:color w:val="auto"/>
        </w:rPr>
        <w:t>”), to be effective upon the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day of December, 2020 as set forth below:</w:t>
      </w:r>
    </w:p>
    <w:p>
      <w:pPr>
        <w:spacing w:after="0" w:line="20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President and CEO, Qwest Air Parts, Inc. President - Materials Group, AerSale reporting to Robert Nichols.</w:t>
      </w:r>
    </w:p>
    <w:p>
      <w:pPr>
        <w:spacing w:after="0" w:line="225"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Your Base Salary will be paid at the biweekly rate of $13,461.54 (subject to any applicable withholdings),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normal payroll practices, and subject to review and adjustment from time to time.</w:t>
      </w:r>
    </w:p>
    <w:p>
      <w:pPr>
        <w:spacing w:after="0" w:line="161" w:lineRule="exact"/>
        <w:rPr>
          <w:rFonts w:ascii="Arial" w:cs="Arial" w:eastAsia="Arial" w:hAnsi="Arial"/>
          <w:sz w:val="18"/>
          <w:szCs w:val="18"/>
          <w:color w:val="auto"/>
        </w:rPr>
      </w:pPr>
    </w:p>
    <w:p>
      <w:pPr>
        <w:jc w:val="both"/>
        <w:ind w:left="980" w:hanging="324"/>
        <w:spacing w:after="0" w:line="258"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Target Bonus: </w:t>
      </w:r>
      <w:r>
        <w:rPr>
          <w:rFonts w:ascii="Arial" w:cs="Arial" w:eastAsia="Arial" w:hAnsi="Arial"/>
          <w:sz w:val="18"/>
          <w:szCs w:val="18"/>
          <w:color w:val="auto"/>
        </w:rPr>
        <w:t>Commencing with fiscal 2021, you will have an annual incentive cash bonus opportunity equal to 50% of your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Payment of the cash bonus in any fiscal year, if any, will be subject to the terms and conditions of the applicable bonus program, as the Company may establish from time to time (and will be subject to any applicable withholdings). Unless otherwise expressly provided in such program or the Severance Plan (as defined below), you must remain employed with the Company through the date of payment of any such bonus to be eligible to receive it.</w:t>
      </w:r>
    </w:p>
    <w:p>
      <w:pPr>
        <w:spacing w:after="0" w:line="183"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You will be eligible to receive equity awards under the Company’s equity incentive plan intended to be adopted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or following the Transaction, or any successor thereto, as determined by the Board of Directors of the Company (or a committee thereof) from time to time in its sole discretion.</w:t>
      </w:r>
    </w:p>
    <w:p>
      <w:pPr>
        <w:spacing w:after="0" w:line="175"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color w:val="auto"/>
        </w:rPr>
        <w:t>You will continue to be eligible to participate in the Company’s employee health, welfare, and other fringe benefit and</w:t>
      </w:r>
      <w:r>
        <w:rPr>
          <w:rFonts w:ascii="Arial" w:cs="Arial" w:eastAsia="Arial" w:hAnsi="Arial"/>
          <w:sz w:val="18"/>
          <w:szCs w:val="18"/>
          <w:b w:val="1"/>
          <w:bCs w:val="1"/>
          <w:color w:val="auto"/>
        </w:rPr>
        <w:t xml:space="preserve"> </w:t>
      </w:r>
      <w:r>
        <w:rPr>
          <w:rFonts w:ascii="Arial" w:cs="Arial" w:eastAsia="Arial" w:hAnsi="Arial"/>
          <w:sz w:val="18"/>
          <w:szCs w:val="18"/>
          <w:color w:val="auto"/>
        </w:rPr>
        <w:t>perquisite programs, each as may be in effect from time to time and in accordance with their terms.</w:t>
      </w: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980" w:hanging="324"/>
        <w:spacing w:after="0" w:line="271"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Severance Plan: </w:t>
      </w:r>
      <w:r>
        <w:rPr>
          <w:rFonts w:ascii="Arial" w:cs="Arial" w:eastAsia="Arial" w:hAnsi="Arial"/>
          <w:sz w:val="17"/>
          <w:szCs w:val="17"/>
          <w:color w:val="auto"/>
        </w:rPr>
        <w:t>You are eligible to participate in the AerSale Corporation Severance Plan (the “</w:t>
      </w:r>
      <w:r>
        <w:rPr>
          <w:rFonts w:ascii="Arial" w:cs="Arial" w:eastAsia="Arial" w:hAnsi="Arial"/>
          <w:sz w:val="17"/>
          <w:szCs w:val="17"/>
          <w:u w:val="single" w:color="auto"/>
          <w:color w:val="auto"/>
        </w:rPr>
        <w:t>Severance Plan</w:t>
      </w:r>
      <w:r>
        <w:rPr>
          <w:rFonts w:ascii="Arial" w:cs="Arial" w:eastAsia="Arial" w:hAnsi="Arial"/>
          <w:sz w:val="17"/>
          <w:szCs w:val="17"/>
          <w:color w:val="auto"/>
        </w:rPr>
        <w:t>”) a copy of which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 you receive any payments or benefits under the Severance Plan). You should read the entire Severance Plan carefully. Under the Severance Plan, your Severance Multiple, as that term is used therein, is 2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962025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6995160" cy="411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1" w:name="page112"/>
    <w:bookmarkEnd w:id="111"/>
    <w:p>
      <w:pPr>
        <w:jc w:val="both"/>
        <w:spacing w:after="0" w:line="259" w:lineRule="auto"/>
        <w:rPr>
          <w:sz w:val="20"/>
          <w:szCs w:val="20"/>
          <w:color w:val="auto"/>
        </w:rPr>
      </w:pPr>
      <w:r>
        <w:rPr>
          <w:rFonts w:ascii="Arial" w:cs="Arial" w:eastAsia="Arial" w:hAnsi="Arial"/>
          <w:sz w:val="18"/>
          <w:szCs w:val="18"/>
          <w:color w:val="auto"/>
        </w:rPr>
        <w:t>At-Will Nature of Employment: Although we hope that your continued employment will be mutually rewarding for you and the Company, your 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consideration of this offer of continued employment and your participation in the Severance Plan, by signing this letter where indicated below, you expressly acknowledge and agree that this Letter shall supersede in its entirety that certain Employment Agreement, by and between you and Qwest Air Parts, Inc., dated as of June 10, 2019 (the “</w:t>
      </w:r>
      <w:r>
        <w:rPr>
          <w:rFonts w:ascii="Arial" w:cs="Arial" w:eastAsia="Arial" w:hAnsi="Arial"/>
          <w:sz w:val="16"/>
          <w:szCs w:val="16"/>
          <w:u w:val="single" w:color="auto"/>
          <w:color w:val="auto"/>
        </w:rPr>
        <w:t>Prior Agreement</w:t>
      </w:r>
      <w:r>
        <w:rPr>
          <w:rFonts w:ascii="Arial" w:cs="Arial" w:eastAsia="Arial" w:hAnsi="Arial"/>
          <w:sz w:val="16"/>
          <w:szCs w:val="16"/>
          <w:color w:val="auto"/>
        </w:rPr>
        <w:t>”), and that neither you, Qwest Air Parts, Inc., the Company, nor any other person or entity shall have any liability (including, without limitation, any liability in the nature of severance or termination pay) with respect to the Prior Agreement upon or following the closing of the Transaction. Notwithstanding the foregoing, you remain eligible to receive a 2020 bonus as described in the Prior Agreement. For purposes of this Letter, the “Transaction” refers to the transaction contemplated by that certain Amended and Restated Agreement and Plan of Merger, by and among Monocle Acquisition Corporation, Monocle Merger Sub 1 Inc., Monocle Holdings Inc., Monocle Merger Sub 2 LLC, AerSale Corp., and, solely in its capacity as the Holder Representative therein, Leonard Green &amp; Partners, L.P., dated as of September 8, 2020, as the same may be amended from time to time, pursuant to which, among other things, Monocle Merger Sub 2 LLC will merge with and into AerSale Corp.</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You may not assign your rights or obligations to another entity or person.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Letter, together with the Severance Plan, constitutes our entire understanding and agreement regarding your continued employment by the Company, and supersedes all prior negotiations, communications, understandings, and agreements relating to the subject matter contained herein or therein, including, without limitation, the Prior Agreement.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This Letter shall be interpreted and construed in accordance with the laws of the State of Florida without regard to any conflicts of laws principles.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our continuing relationship.</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Please acknowledge your acceptance of the terms of this Letter by signing where indicated below and returning an executed copy to Vanessa Machado, SVP of 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6995160" cy="411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894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21894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Nicolas Finazzo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Chairman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ACKNOWLEDGED AND AGREED: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Gary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180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22180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Gary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6995160" cy="411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13" w:name="page114"/>
    <w:bookmarkEnd w:id="113"/>
    <w:p>
      <w:pPr>
        <w:ind w:left="10020"/>
        <w:spacing w:after="0"/>
        <w:rPr>
          <w:sz w:val="20"/>
          <w:szCs w:val="20"/>
          <w:color w:val="auto"/>
        </w:rPr>
      </w:pPr>
      <w:r>
        <w:rPr>
          <w:rFonts w:ascii="Arial" w:cs="Arial" w:eastAsia="Arial" w:hAnsi="Arial"/>
          <w:sz w:val="19"/>
          <w:szCs w:val="19"/>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3025775" cy="9512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302577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Iso Nezaj</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1074 Deerwood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Weston, 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33326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Continued AerSale Employment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Iso:</w:t>
      </w:r>
    </w:p>
    <w:p>
      <w:pPr>
        <w:spacing w:after="0" w:line="22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are pleased to offer you continued employment with AerSale, Inc. (together with any of its subsidiaries and affiliates as may employ you from time to time, the “</w:t>
      </w:r>
      <w:r>
        <w:rPr>
          <w:rFonts w:ascii="Arial" w:cs="Arial" w:eastAsia="Arial" w:hAnsi="Arial"/>
          <w:sz w:val="18"/>
          <w:szCs w:val="18"/>
          <w:u w:val="single" w:color="auto"/>
          <w:color w:val="auto"/>
        </w:rPr>
        <w:t>Company</w:t>
      </w:r>
      <w:r>
        <w:rPr>
          <w:rFonts w:ascii="Arial" w:cs="Arial" w:eastAsia="Arial" w:hAnsi="Arial"/>
          <w:sz w:val="18"/>
          <w:szCs w:val="18"/>
          <w:color w:val="auto"/>
        </w:rPr>
        <w:t>”) on the terms and conditions set forth in this letter (the “</w:t>
      </w:r>
      <w:r>
        <w:rPr>
          <w:rFonts w:ascii="Arial" w:cs="Arial" w:eastAsia="Arial" w:hAnsi="Arial"/>
          <w:sz w:val="18"/>
          <w:szCs w:val="18"/>
          <w:u w:val="single" w:color="auto"/>
          <w:color w:val="auto"/>
        </w:rPr>
        <w:t>Letter</w:t>
      </w:r>
      <w:r>
        <w:rPr>
          <w:rFonts w:ascii="Arial" w:cs="Arial" w:eastAsia="Arial" w:hAnsi="Arial"/>
          <w:sz w:val="18"/>
          <w:szCs w:val="18"/>
          <w:color w:val="auto"/>
        </w:rPr>
        <w:t>”), to be effective upon the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day of December, 2020 as set forth below:</w:t>
      </w:r>
    </w:p>
    <w:p>
      <w:pPr>
        <w:spacing w:after="0" w:line="200"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President - Engineered Solutions Division &amp; Chief Technical Officer reporting to Nicolas Finazzo.</w:t>
      </w:r>
    </w:p>
    <w:p>
      <w:pPr>
        <w:spacing w:after="0" w:line="225"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Your Base Salary will be paid at the biweekly rate of $13,461.54 (subject to any applicable withholdings),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normal payroll practices, and subject to review and adjustment from time to time.</w:t>
      </w:r>
    </w:p>
    <w:p>
      <w:pPr>
        <w:spacing w:after="0" w:line="161" w:lineRule="exact"/>
        <w:rPr>
          <w:rFonts w:ascii="Arial" w:cs="Arial" w:eastAsia="Arial" w:hAnsi="Arial"/>
          <w:sz w:val="18"/>
          <w:szCs w:val="18"/>
          <w:color w:val="auto"/>
        </w:rPr>
      </w:pPr>
    </w:p>
    <w:p>
      <w:pPr>
        <w:jc w:val="both"/>
        <w:ind w:left="980" w:hanging="324"/>
        <w:spacing w:after="0" w:line="258"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Target Bonus: </w:t>
      </w:r>
      <w:r>
        <w:rPr>
          <w:rFonts w:ascii="Arial" w:cs="Arial" w:eastAsia="Arial" w:hAnsi="Arial"/>
          <w:sz w:val="18"/>
          <w:szCs w:val="18"/>
          <w:color w:val="auto"/>
        </w:rPr>
        <w:t>Commencing with fiscal 2021, you will have an annual incentive cash bonus opportunity equal to 50% of your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Payment of the cash bonus in any fiscal year, if any, will be subject to the terms and conditions of the applicable bonus program, as the Company may establish from time to time (and will be subject to any applicable withholdings). Unless otherwise expressly provided in such program or the Severance Plan (as defined below), you must remain employed with the Company through the date of payment of any such bonus to be eligible to receive it.</w:t>
      </w:r>
    </w:p>
    <w:p>
      <w:pPr>
        <w:spacing w:after="0" w:line="183"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You will be eligible to receive equity awards under the Company’s equity incentive plan intended to be adopted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or following the Transaction, or any successor thereto, as determined by the Board of Directors of the Company (or a committee thereof) from time to time in its sole discretion.</w:t>
      </w:r>
    </w:p>
    <w:p>
      <w:pPr>
        <w:spacing w:after="0" w:line="175"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color w:val="auto"/>
        </w:rPr>
        <w:t>You will continue to be eligible to participate in the Company’s employee health, welfare, and other fringe benefit and</w:t>
      </w:r>
      <w:r>
        <w:rPr>
          <w:rFonts w:ascii="Arial" w:cs="Arial" w:eastAsia="Arial" w:hAnsi="Arial"/>
          <w:sz w:val="18"/>
          <w:szCs w:val="18"/>
          <w:b w:val="1"/>
          <w:bCs w:val="1"/>
          <w:color w:val="auto"/>
        </w:rPr>
        <w:t xml:space="preserve"> </w:t>
      </w:r>
      <w:r>
        <w:rPr>
          <w:rFonts w:ascii="Arial" w:cs="Arial" w:eastAsia="Arial" w:hAnsi="Arial"/>
          <w:sz w:val="18"/>
          <w:szCs w:val="18"/>
          <w:color w:val="auto"/>
        </w:rPr>
        <w:t>perquisite programs, each as may be in effect from time to time and in accordance with their terms.</w:t>
      </w:r>
    </w:p>
    <w:p>
      <w:pPr>
        <w:spacing w:after="0" w:line="161" w:lineRule="exact"/>
        <w:rPr>
          <w:rFonts w:ascii="Arial" w:cs="Arial" w:eastAsia="Arial" w:hAnsi="Arial"/>
          <w:sz w:val="18"/>
          <w:szCs w:val="18"/>
          <w:color w:val="auto"/>
        </w:rPr>
      </w:pPr>
    </w:p>
    <w:p>
      <w:pPr>
        <w:jc w:val="both"/>
        <w:ind w:left="980" w:hanging="324"/>
        <w:spacing w:after="0" w:line="277"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Severance Plan: </w:t>
      </w:r>
      <w:r>
        <w:rPr>
          <w:rFonts w:ascii="Arial" w:cs="Arial" w:eastAsia="Arial" w:hAnsi="Arial"/>
          <w:sz w:val="17"/>
          <w:szCs w:val="17"/>
          <w:color w:val="auto"/>
        </w:rPr>
        <w:t>You are eligible to participate in the AerSale Corporation Severance Plan (the “</w:t>
      </w:r>
      <w:r>
        <w:rPr>
          <w:rFonts w:ascii="Arial" w:cs="Arial" w:eastAsia="Arial" w:hAnsi="Arial"/>
          <w:sz w:val="17"/>
          <w:szCs w:val="17"/>
          <w:u w:val="single" w:color="auto"/>
          <w:color w:val="auto"/>
        </w:rPr>
        <w:t>Severance Plan</w:t>
      </w:r>
      <w:r>
        <w:rPr>
          <w:rFonts w:ascii="Arial" w:cs="Arial" w:eastAsia="Arial" w:hAnsi="Arial"/>
          <w:sz w:val="17"/>
          <w:szCs w:val="17"/>
          <w:color w:val="auto"/>
        </w:rPr>
        <w:t>, a copy of which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 you receive any payments or benefits under the Severance Plan). You should read the entire Severance Plan carefully. Under the Severance Plan, your Severance Multiple, as that term is used therein, is 2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6995160" cy="411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4" w:name="page115"/>
    <w:bookmarkEnd w:id="114"/>
    <w:p>
      <w:pPr>
        <w:jc w:val="both"/>
        <w:spacing w:after="0" w:line="259" w:lineRule="auto"/>
        <w:rPr>
          <w:sz w:val="20"/>
          <w:szCs w:val="20"/>
          <w:color w:val="auto"/>
        </w:rPr>
      </w:pPr>
      <w:r>
        <w:rPr>
          <w:rFonts w:ascii="Arial" w:cs="Arial" w:eastAsia="Arial" w:hAnsi="Arial"/>
          <w:sz w:val="18"/>
          <w:szCs w:val="18"/>
          <w:color w:val="auto"/>
        </w:rPr>
        <w:t>At-Will Nature of Employment: Although we hope that your continued employment will be mutually rewarding for you and the Company, your 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consideration of this offer of continued employment and your participation in the Severance Plan, by signing this letter where indicated below, you expressly acknowledge and agree that this Letter shall supersede in its entirety that certain Employment Agreement, by and between you and the Company, dated as of May 1, 2017 and amended on September 1, 2019 (the “</w:t>
      </w:r>
      <w:r>
        <w:rPr>
          <w:rFonts w:ascii="Arial" w:cs="Arial" w:eastAsia="Arial" w:hAnsi="Arial"/>
          <w:sz w:val="16"/>
          <w:szCs w:val="16"/>
          <w:u w:val="single" w:color="auto"/>
          <w:color w:val="auto"/>
        </w:rPr>
        <w:t>Prior Agreement</w:t>
      </w:r>
      <w:r>
        <w:rPr>
          <w:rFonts w:ascii="Arial" w:cs="Arial" w:eastAsia="Arial" w:hAnsi="Arial"/>
          <w:sz w:val="16"/>
          <w:szCs w:val="16"/>
          <w:color w:val="auto"/>
        </w:rPr>
        <w:t>”), and that neither you, the Company, nor any other person or entity shall have any liability (including, without limitation, any liability in the nature of severance or termination pay) with respect to the Prior Agreement upon or following the closing of the Transaction. Notwithstanding the foregoing, you remain eligible to receive a 2020 bonus as described in the Prior Agreement. For purposes of this Letter, the “Transaction” refers to the transaction contemplated by that certain Amended and Restated Agreement and Plan of Merger, by and among Monocle Acquisition Corporation, Monocle Merger Sub 1 Inc., Monocle Holdings Inc., Monocle Merger Sub 2 LLC, AerSale Corp., and, solely in its capacity as the Holder Representative therein, Leonard Green &amp; Partners, L.P., dated as of September 8, 2020, as the same may be amended from time to time, pursuant to which, among other things, Monocle Merger Sub 2 LLC will merge with and into AerSale Corp.</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You may not assign your rights or obligations to another entity or person.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Letter, together with the Severance Plan, constitutes our entire understanding and agreement regarding your continued employment by the Company, and supersedes all prior negotiations, communications, understandings, and agreements relating to the subject matter contained herein or therein, including, without limitation, the Prior Agreement.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This Letter shall be interpreted and construed in accordance with the laws of the State of Florida without regard to any conflicts of laws principles.</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look forward to our continuing relationship. Please acknowledge your acceptance of the terms of this Letter by signing where indicated below and returning an executed copy to Vanessa Machado, SVP of 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6995160" cy="411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894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21894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Nicolas Finazzo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Chairman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ACKNOWLEDGED AND AGREED: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Iso Nezaj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27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22275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Iso Nezaj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1017270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6995160" cy="411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3025775" cy="9512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302577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Frederick Craig Wright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2929 SW 30th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33133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Continued AerSale Employment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Craig:</w:t>
      </w:r>
    </w:p>
    <w:p>
      <w:pPr>
        <w:spacing w:after="0" w:line="22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are pleased to offer you continued employment with AerSale, Inc. (together with any of its subsidiaries and affiliates as may employ you from time to time, the “</w:t>
      </w:r>
      <w:r>
        <w:rPr>
          <w:rFonts w:ascii="Arial" w:cs="Arial" w:eastAsia="Arial" w:hAnsi="Arial"/>
          <w:sz w:val="18"/>
          <w:szCs w:val="18"/>
          <w:u w:val="single" w:color="auto"/>
          <w:color w:val="auto"/>
        </w:rPr>
        <w:t>Company</w:t>
      </w:r>
      <w:r>
        <w:rPr>
          <w:rFonts w:ascii="Arial" w:cs="Arial" w:eastAsia="Arial" w:hAnsi="Arial"/>
          <w:sz w:val="18"/>
          <w:szCs w:val="18"/>
          <w:color w:val="auto"/>
        </w:rPr>
        <w:t>”) on the terms and conditions set forth in this letter (the “</w:t>
      </w:r>
      <w:r>
        <w:rPr>
          <w:rFonts w:ascii="Arial" w:cs="Arial" w:eastAsia="Arial" w:hAnsi="Arial"/>
          <w:sz w:val="18"/>
          <w:szCs w:val="18"/>
          <w:u w:val="single" w:color="auto"/>
          <w:color w:val="auto"/>
        </w:rPr>
        <w:t>Letter</w:t>
      </w:r>
      <w:r>
        <w:rPr>
          <w:rFonts w:ascii="Arial" w:cs="Arial" w:eastAsia="Arial" w:hAnsi="Arial"/>
          <w:sz w:val="18"/>
          <w:szCs w:val="18"/>
          <w:color w:val="auto"/>
        </w:rPr>
        <w:t>”), to be effective upon the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day of December, 2020 as set forth below:</w:t>
      </w:r>
    </w:p>
    <w:p>
      <w:pPr>
        <w:spacing w:after="0" w:line="200"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President – Aircraft &amp; Engine Management reporting to Robert B. Nichols.</w:t>
      </w:r>
    </w:p>
    <w:p>
      <w:pPr>
        <w:spacing w:after="0" w:line="225"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Your Base Salary will be paid at the biweekly rate of $13,461.54 (subject to any applicable withholdings),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normal payroll practices, and subject to review and adjustment from time to time.</w:t>
      </w:r>
    </w:p>
    <w:p>
      <w:pPr>
        <w:spacing w:after="0" w:line="161" w:lineRule="exact"/>
        <w:rPr>
          <w:rFonts w:ascii="Arial" w:cs="Arial" w:eastAsia="Arial" w:hAnsi="Arial"/>
          <w:sz w:val="18"/>
          <w:szCs w:val="18"/>
          <w:color w:val="auto"/>
        </w:rPr>
      </w:pPr>
    </w:p>
    <w:p>
      <w:pPr>
        <w:jc w:val="both"/>
        <w:ind w:left="980" w:hanging="324"/>
        <w:spacing w:after="0" w:line="258"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Target Bonus: </w:t>
      </w:r>
      <w:r>
        <w:rPr>
          <w:rFonts w:ascii="Arial" w:cs="Arial" w:eastAsia="Arial" w:hAnsi="Arial"/>
          <w:sz w:val="18"/>
          <w:szCs w:val="18"/>
          <w:color w:val="auto"/>
        </w:rPr>
        <w:t>Commencing with fiscal 2021, you will have an annual incentive cash bonus opportunity equal to 50% of your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Payment of the cash bonus in any fiscal year, if any, will be subject to the terms and conditions of the applicable bonus program, as the Company may establish from time to time (and will be subject to any applicable withholdings). Unless otherwise expressly provided in such program or the Severance Plan (as defined below), you must remain employed with the Company through the date of payment of any such bonus to be eligible to receive it.</w:t>
      </w:r>
    </w:p>
    <w:p>
      <w:pPr>
        <w:spacing w:after="0" w:line="183"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Equity Awards: You </w:t>
      </w:r>
      <w:r>
        <w:rPr>
          <w:rFonts w:ascii="Arial" w:cs="Arial" w:eastAsia="Arial" w:hAnsi="Arial"/>
          <w:sz w:val="18"/>
          <w:szCs w:val="18"/>
          <w:color w:val="auto"/>
        </w:rPr>
        <w:t>will be eligible to receive equity awards under the Company’s equity incentive plan intended to be adopted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or following the Transaction, or any successor thereto, as determined by the Board of Directors of the Company (or a committee thereof) from time to time in its sole discretion.</w:t>
      </w:r>
    </w:p>
    <w:p>
      <w:pPr>
        <w:spacing w:after="0" w:line="175"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color w:val="auto"/>
        </w:rPr>
        <w:t>You will continue to be eligible to participate in the Company’s employee health, welfare, and other fringe benefit and</w:t>
      </w:r>
      <w:r>
        <w:rPr>
          <w:rFonts w:ascii="Arial" w:cs="Arial" w:eastAsia="Arial" w:hAnsi="Arial"/>
          <w:sz w:val="18"/>
          <w:szCs w:val="18"/>
          <w:b w:val="1"/>
          <w:bCs w:val="1"/>
          <w:color w:val="auto"/>
        </w:rPr>
        <w:t xml:space="preserve"> </w:t>
      </w:r>
      <w:r>
        <w:rPr>
          <w:rFonts w:ascii="Arial" w:cs="Arial" w:eastAsia="Arial" w:hAnsi="Arial"/>
          <w:sz w:val="18"/>
          <w:szCs w:val="18"/>
          <w:color w:val="auto"/>
        </w:rPr>
        <w:t>perquisite programs, each as may be in effect from time to time and in accordance with their terms.</w:t>
      </w:r>
    </w:p>
    <w:p>
      <w:pPr>
        <w:spacing w:after="0" w:line="161" w:lineRule="exact"/>
        <w:rPr>
          <w:rFonts w:ascii="Arial" w:cs="Arial" w:eastAsia="Arial" w:hAnsi="Arial"/>
          <w:sz w:val="18"/>
          <w:szCs w:val="18"/>
          <w:color w:val="auto"/>
        </w:rPr>
      </w:pPr>
    </w:p>
    <w:p>
      <w:pPr>
        <w:jc w:val="both"/>
        <w:ind w:left="980" w:hanging="324"/>
        <w:spacing w:after="0" w:line="277"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Severance Plan: </w:t>
      </w:r>
      <w:r>
        <w:rPr>
          <w:rFonts w:ascii="Arial" w:cs="Arial" w:eastAsia="Arial" w:hAnsi="Arial"/>
          <w:sz w:val="17"/>
          <w:szCs w:val="17"/>
          <w:color w:val="auto"/>
        </w:rPr>
        <w:t>You are eligible to participate in the AerSale Corporation Severance Plan (the “</w:t>
      </w:r>
      <w:r>
        <w:rPr>
          <w:rFonts w:ascii="Arial" w:cs="Arial" w:eastAsia="Arial" w:hAnsi="Arial"/>
          <w:sz w:val="17"/>
          <w:szCs w:val="17"/>
          <w:u w:val="single" w:color="auto"/>
          <w:color w:val="auto"/>
        </w:rPr>
        <w:t>Severance Plan</w:t>
      </w:r>
      <w:r>
        <w:rPr>
          <w:rFonts w:ascii="Arial" w:cs="Arial" w:eastAsia="Arial" w:hAnsi="Arial"/>
          <w:sz w:val="17"/>
          <w:szCs w:val="17"/>
          <w:color w:val="auto"/>
        </w:rPr>
        <w:t>”), a copy of which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 you receive any payments or benefits under the Severance Plan). You should read the entire Severance Plan carefully. Under the Severance Plan your Severance Multiple, as that term is used therein, is Two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6995160" cy="411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7" w:name="page118"/>
    <w:bookmarkEnd w:id="117"/>
    <w:p>
      <w:pPr>
        <w:jc w:val="both"/>
        <w:spacing w:after="0" w:line="259" w:lineRule="auto"/>
        <w:rPr>
          <w:sz w:val="20"/>
          <w:szCs w:val="20"/>
          <w:color w:val="auto"/>
        </w:rPr>
      </w:pPr>
      <w:r>
        <w:rPr>
          <w:rFonts w:ascii="Arial" w:cs="Arial" w:eastAsia="Arial" w:hAnsi="Arial"/>
          <w:sz w:val="18"/>
          <w:szCs w:val="18"/>
          <w:color w:val="auto"/>
        </w:rPr>
        <w:t>At-Will Nature of Employment: Although we hope that your continued employment will be mutually rewarding for you and the Company, your 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consideration of this offer of continued employment and your participation in the Severance Plan, by signing this letter where indicated below, you expressly acknowledge and agree that this Letter shall supersede in its entirety that certain Employment Agreement, by and between you and the Company, dated as of January, 01 2019 (the “</w:t>
      </w:r>
      <w:r>
        <w:rPr>
          <w:rFonts w:ascii="Arial" w:cs="Arial" w:eastAsia="Arial" w:hAnsi="Arial"/>
          <w:sz w:val="17"/>
          <w:szCs w:val="17"/>
          <w:u w:val="single" w:color="auto"/>
          <w:color w:val="auto"/>
        </w:rPr>
        <w:t>Prior Agreement</w:t>
      </w:r>
      <w:r>
        <w:rPr>
          <w:rFonts w:ascii="Arial" w:cs="Arial" w:eastAsia="Arial" w:hAnsi="Arial"/>
          <w:sz w:val="17"/>
          <w:szCs w:val="17"/>
          <w:color w:val="auto"/>
        </w:rPr>
        <w:t>”), and that neither you, the Company, nor any other person or entity shall have any liability (including, without limitation, any liability in the nature of severance or termination pay) with respect to the Prior Agreement upon or following the closing of the Transaction. Notwithstanding the foregoing, you remain eligible to receive a 2020 bonus as described in the Prior Agreement. For purposes of this Letter, the “Transaction” refers to the transaction contemplated by that certain Amended and Restated Agreement and Plan of Merger, by and among Monocle Acquisition Corporation, Monocle Merger Sub 1 Inc., Monocle Holdings Inc., Monocle Merger Sub 2 LLC, AerSale Corp., and, solely in its capacity as the Holder Representative therein, Leonard Green &amp; Partners, L.P., dated as of September 8, 2020, as the same may be amended from time to time, pursuant to which, among other things, Monocle Merger Sub 2 LLC will merge with and into AerSale Corp.</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You may not assign your rights or obligations to another entity or person.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Letter, together with the Severance Plan, constitutes our entire understanding and agreement regarding your continued employment by the Company, and supersedes all prior negotiations, communications, understandings, and agreements relating to the subject matter contained herein or therein, including, without limitation, the Prior Agreement.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This Letter shall be interpreted and construed in accordance with the laws of the State of Florida without regard to any conflicts of laws principles.</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look forward to our continuing relationship. Please acknowledge your acceptance of the terms of this Letter by signing where indicated below and returning an executed copy to Vanessa Machado, SVP of 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254635</wp:posOffset>
            </wp:positionV>
            <wp:extent cx="6995160" cy="411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180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22180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Nicolas Finazzo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Chairman &amp; 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ACKNOWLEDGED AND AGREED: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Frederick Craig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755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21755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Frederick Craig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982980</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6995160" cy="411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10.22</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306070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323215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-119380</wp:posOffset>
            </wp:positionV>
            <wp:extent cx="711200" cy="7200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711200" cy="720090"/>
                    </a:xfrm>
                    <a:prstGeom prst="rect">
                      <a:avLst/>
                    </a:prstGeom>
                    <a:noFill/>
                  </pic:spPr>
                </pic:pic>
              </a:graphicData>
            </a:graphic>
          </wp:anchor>
        </w:drawing>
      </w:r>
    </w:p>
    <w:p>
      <w:pPr>
        <w:spacing w:after="0" w:line="21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 and among</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Administrative Agent,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Lead Arranger,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Book Runner,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LENDERS THAT ARE PARTIES HERETO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the Lenders,</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AERSALE HOLDINGS,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Parent,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AERSALE, INC. 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OTHER BORROWERS THAT ARE PARTIES HERETO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Borrowers</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Dated as of July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763270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760" w:type="dxa"/>
            <w:vAlign w:val="bottom"/>
          </w:tcPr>
          <w:p>
            <w:pPr>
              <w:ind w:left="3960"/>
              <w:spacing w:after="0"/>
              <w:rPr>
                <w:sz w:val="20"/>
                <w:szCs w:val="20"/>
                <w:color w:val="auto"/>
              </w:rPr>
            </w:pPr>
            <w:r>
              <w:rPr>
                <w:rFonts w:ascii="Arial" w:cs="Arial" w:eastAsia="Arial" w:hAnsi="Arial"/>
                <w:sz w:val="18"/>
                <w:szCs w:val="18"/>
                <w:b w:val="1"/>
                <w:bCs w:val="1"/>
                <w:color w:val="auto"/>
              </w:rPr>
              <w:t>TABLE OF CONTENTS</w:t>
            </w:r>
          </w:p>
        </w:tc>
        <w:tc>
          <w:tcPr>
            <w:tcW w:w="2780" w:type="dxa"/>
            <w:vAlign w:val="bottom"/>
          </w:tcPr>
          <w:p>
            <w:pPr>
              <w:spacing w:after="0"/>
              <w:rPr>
                <w:sz w:val="20"/>
                <w:szCs w:val="20"/>
                <w:color w:val="auto"/>
              </w:rPr>
            </w:pPr>
          </w:p>
        </w:tc>
      </w:tr>
      <w:tr>
        <w:trPr>
          <w:trHeight w:val="432"/>
        </w:trPr>
        <w:tc>
          <w:tcPr>
            <w:tcW w:w="70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780" w:type="dxa"/>
            <w:vAlign w:val="bottom"/>
          </w:tcPr>
          <w:p>
            <w:pPr>
              <w:jc w:val="right"/>
              <w:ind w:right="430"/>
              <w:spacing w:after="0"/>
              <w:rPr>
                <w:sz w:val="20"/>
                <w:szCs w:val="20"/>
                <w:color w:val="auto"/>
              </w:rPr>
            </w:pPr>
            <w:r>
              <w:rPr>
                <w:rFonts w:ascii="Arial" w:cs="Arial" w:eastAsia="Arial" w:hAnsi="Arial"/>
                <w:sz w:val="18"/>
                <w:szCs w:val="18"/>
                <w:b w:val="1"/>
                <w:bCs w:val="1"/>
                <w:color w:val="auto"/>
              </w:rPr>
              <w:t>Page</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w:t>
            </w:r>
          </w:p>
        </w:tc>
        <w:tc>
          <w:tcPr>
            <w:tcW w:w="7760" w:type="dxa"/>
            <w:vAlign w:val="bottom"/>
          </w:tcPr>
          <w:p>
            <w:pPr>
              <w:ind w:left="220"/>
              <w:spacing w:after="0"/>
              <w:rPr>
                <w:sz w:val="20"/>
                <w:szCs w:val="20"/>
                <w:color w:val="auto"/>
              </w:rPr>
            </w:pPr>
            <w:r>
              <w:rPr>
                <w:rFonts w:ascii="Arial" w:cs="Arial" w:eastAsia="Arial" w:hAnsi="Arial"/>
                <w:sz w:val="18"/>
                <w:szCs w:val="18"/>
                <w:color w:val="auto"/>
              </w:rPr>
              <w:t>DEFINITIONS AND CONSTRUCTION.</w:t>
            </w:r>
          </w:p>
        </w:tc>
        <w:tc>
          <w:tcPr>
            <w:tcW w:w="2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1.1</w:t>
            </w:r>
          </w:p>
        </w:tc>
        <w:tc>
          <w:tcPr>
            <w:tcW w:w="776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2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1.2</w:t>
            </w:r>
          </w:p>
        </w:tc>
        <w:tc>
          <w:tcPr>
            <w:tcW w:w="7760" w:type="dxa"/>
            <w:vAlign w:val="bottom"/>
          </w:tcPr>
          <w:p>
            <w:pPr>
              <w:ind w:left="220"/>
              <w:spacing w:after="0"/>
              <w:rPr>
                <w:sz w:val="20"/>
                <w:szCs w:val="20"/>
                <w:color w:val="auto"/>
              </w:rPr>
            </w:pPr>
            <w:r>
              <w:rPr>
                <w:rFonts w:ascii="Arial" w:cs="Arial" w:eastAsia="Arial" w:hAnsi="Arial"/>
                <w:sz w:val="18"/>
                <w:szCs w:val="18"/>
                <w:color w:val="auto"/>
              </w:rPr>
              <w:t>Accounting Terms</w:t>
            </w:r>
          </w:p>
        </w:tc>
        <w:tc>
          <w:tcPr>
            <w:tcW w:w="2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1.3</w:t>
            </w:r>
          </w:p>
        </w:tc>
        <w:tc>
          <w:tcPr>
            <w:tcW w:w="7760" w:type="dxa"/>
            <w:vAlign w:val="bottom"/>
          </w:tcPr>
          <w:p>
            <w:pPr>
              <w:ind w:left="220"/>
              <w:spacing w:after="0"/>
              <w:rPr>
                <w:sz w:val="20"/>
                <w:szCs w:val="20"/>
                <w:color w:val="auto"/>
              </w:rPr>
            </w:pPr>
            <w:r>
              <w:rPr>
                <w:rFonts w:ascii="Arial" w:cs="Arial" w:eastAsia="Arial" w:hAnsi="Arial"/>
                <w:sz w:val="18"/>
                <w:szCs w:val="18"/>
                <w:color w:val="auto"/>
              </w:rPr>
              <w:t>Code</w:t>
            </w:r>
          </w:p>
        </w:tc>
        <w:tc>
          <w:tcPr>
            <w:tcW w:w="2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1.4</w:t>
            </w:r>
          </w:p>
        </w:tc>
        <w:tc>
          <w:tcPr>
            <w:tcW w:w="7760" w:type="dxa"/>
            <w:vAlign w:val="bottom"/>
          </w:tcPr>
          <w:p>
            <w:pPr>
              <w:ind w:left="220"/>
              <w:spacing w:after="0"/>
              <w:rPr>
                <w:sz w:val="20"/>
                <w:szCs w:val="20"/>
                <w:color w:val="auto"/>
              </w:rPr>
            </w:pPr>
            <w:r>
              <w:rPr>
                <w:rFonts w:ascii="Arial" w:cs="Arial" w:eastAsia="Arial" w:hAnsi="Arial"/>
                <w:sz w:val="18"/>
                <w:szCs w:val="18"/>
                <w:color w:val="auto"/>
              </w:rPr>
              <w:t>Construction</w:t>
            </w:r>
          </w:p>
        </w:tc>
        <w:tc>
          <w:tcPr>
            <w:tcW w:w="2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1.5</w:t>
            </w:r>
          </w:p>
        </w:tc>
        <w:tc>
          <w:tcPr>
            <w:tcW w:w="7760" w:type="dxa"/>
            <w:vAlign w:val="bottom"/>
          </w:tcPr>
          <w:p>
            <w:pPr>
              <w:ind w:left="220"/>
              <w:spacing w:after="0"/>
              <w:rPr>
                <w:sz w:val="20"/>
                <w:szCs w:val="20"/>
                <w:color w:val="auto"/>
              </w:rPr>
            </w:pPr>
            <w:r>
              <w:rPr>
                <w:rFonts w:ascii="Arial" w:cs="Arial" w:eastAsia="Arial" w:hAnsi="Arial"/>
                <w:sz w:val="18"/>
                <w:szCs w:val="18"/>
                <w:color w:val="auto"/>
              </w:rPr>
              <w:t>Time References</w:t>
            </w:r>
          </w:p>
        </w:tc>
        <w:tc>
          <w:tcPr>
            <w:tcW w:w="2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1.6</w:t>
            </w:r>
          </w:p>
        </w:tc>
        <w:tc>
          <w:tcPr>
            <w:tcW w:w="7760" w:type="dxa"/>
            <w:vAlign w:val="bottom"/>
          </w:tcPr>
          <w:p>
            <w:pPr>
              <w:ind w:left="220"/>
              <w:spacing w:after="0"/>
              <w:rPr>
                <w:sz w:val="20"/>
                <w:szCs w:val="20"/>
                <w:color w:val="auto"/>
              </w:rPr>
            </w:pPr>
            <w:r>
              <w:rPr>
                <w:rFonts w:ascii="Arial" w:cs="Arial" w:eastAsia="Arial" w:hAnsi="Arial"/>
                <w:sz w:val="18"/>
                <w:szCs w:val="18"/>
                <w:color w:val="auto"/>
              </w:rPr>
              <w:t>Schedules and Exhibits</w:t>
            </w:r>
          </w:p>
        </w:tc>
        <w:tc>
          <w:tcPr>
            <w:tcW w:w="2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2.</w:t>
            </w:r>
          </w:p>
        </w:tc>
        <w:tc>
          <w:tcPr>
            <w:tcW w:w="7760" w:type="dxa"/>
            <w:vAlign w:val="bottom"/>
          </w:tcPr>
          <w:p>
            <w:pPr>
              <w:ind w:left="220"/>
              <w:spacing w:after="0"/>
              <w:rPr>
                <w:sz w:val="20"/>
                <w:szCs w:val="20"/>
                <w:color w:val="auto"/>
              </w:rPr>
            </w:pPr>
            <w:r>
              <w:rPr>
                <w:rFonts w:ascii="Arial" w:cs="Arial" w:eastAsia="Arial" w:hAnsi="Arial"/>
                <w:sz w:val="18"/>
                <w:szCs w:val="18"/>
                <w:color w:val="auto"/>
              </w:rPr>
              <w:t>LOANS AND TERMS OF PAYMENT</w:t>
            </w:r>
          </w:p>
        </w:tc>
        <w:tc>
          <w:tcPr>
            <w:tcW w:w="2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2.1</w:t>
            </w:r>
          </w:p>
        </w:tc>
        <w:tc>
          <w:tcPr>
            <w:tcW w:w="776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2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2.2</w:t>
            </w:r>
          </w:p>
        </w:tc>
        <w:tc>
          <w:tcPr>
            <w:tcW w:w="7760" w:type="dxa"/>
            <w:vAlign w:val="bottom"/>
          </w:tcPr>
          <w:p>
            <w:pPr>
              <w:ind w:left="220"/>
              <w:spacing w:after="0"/>
              <w:rPr>
                <w:sz w:val="20"/>
                <w:szCs w:val="20"/>
                <w:color w:val="auto"/>
              </w:rPr>
            </w:pPr>
            <w:r>
              <w:rPr>
                <w:rFonts w:ascii="Arial" w:cs="Arial" w:eastAsia="Arial" w:hAnsi="Arial"/>
                <w:sz w:val="18"/>
                <w:szCs w:val="18"/>
                <w:color w:val="auto"/>
              </w:rPr>
              <w:t>Asset Purchase Borrowing Base Adjustment</w:t>
            </w:r>
          </w:p>
        </w:tc>
        <w:tc>
          <w:tcPr>
            <w:tcW w:w="2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2.3</w:t>
            </w:r>
          </w:p>
        </w:tc>
        <w:tc>
          <w:tcPr>
            <w:tcW w:w="7760" w:type="dxa"/>
            <w:vAlign w:val="bottom"/>
          </w:tcPr>
          <w:p>
            <w:pPr>
              <w:ind w:left="220"/>
              <w:spacing w:after="0"/>
              <w:rPr>
                <w:sz w:val="20"/>
                <w:szCs w:val="20"/>
                <w:color w:val="auto"/>
              </w:rPr>
            </w:pPr>
            <w:r>
              <w:rPr>
                <w:rFonts w:ascii="Arial" w:cs="Arial" w:eastAsia="Arial" w:hAnsi="Arial"/>
                <w:sz w:val="18"/>
                <w:szCs w:val="18"/>
                <w:color w:val="auto"/>
              </w:rPr>
              <w:t>Borrowing Procedures and Settlements</w:t>
            </w:r>
          </w:p>
        </w:tc>
        <w:tc>
          <w:tcPr>
            <w:tcW w:w="2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2.4</w:t>
            </w:r>
          </w:p>
        </w:tc>
        <w:tc>
          <w:tcPr>
            <w:tcW w:w="7760" w:type="dxa"/>
            <w:vAlign w:val="bottom"/>
          </w:tcPr>
          <w:p>
            <w:pPr>
              <w:ind w:left="220"/>
              <w:spacing w:after="0"/>
              <w:rPr>
                <w:sz w:val="20"/>
                <w:szCs w:val="20"/>
                <w:color w:val="auto"/>
              </w:rPr>
            </w:pPr>
            <w:r>
              <w:rPr>
                <w:rFonts w:ascii="Arial" w:cs="Arial" w:eastAsia="Arial" w:hAnsi="Arial"/>
                <w:sz w:val="18"/>
                <w:szCs w:val="18"/>
                <w:color w:val="auto"/>
              </w:rPr>
              <w:t>Payments; Reductions of Commitments; Prepayments</w:t>
            </w:r>
          </w:p>
        </w:tc>
        <w:tc>
          <w:tcPr>
            <w:tcW w:w="27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2.5</w:t>
            </w:r>
          </w:p>
        </w:tc>
        <w:tc>
          <w:tcPr>
            <w:tcW w:w="7760" w:type="dxa"/>
            <w:vAlign w:val="bottom"/>
          </w:tcPr>
          <w:p>
            <w:pPr>
              <w:ind w:left="220"/>
              <w:spacing w:after="0"/>
              <w:rPr>
                <w:sz w:val="20"/>
                <w:szCs w:val="20"/>
                <w:color w:val="auto"/>
              </w:rPr>
            </w:pPr>
            <w:r>
              <w:rPr>
                <w:rFonts w:ascii="Arial" w:cs="Arial" w:eastAsia="Arial" w:hAnsi="Arial"/>
                <w:sz w:val="18"/>
                <w:szCs w:val="18"/>
                <w:color w:val="auto"/>
              </w:rPr>
              <w:t>Promise to Pay; Promissory Notes</w:t>
            </w:r>
          </w:p>
        </w:tc>
        <w:tc>
          <w:tcPr>
            <w:tcW w:w="2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2.6</w:t>
            </w:r>
          </w:p>
        </w:tc>
        <w:tc>
          <w:tcPr>
            <w:tcW w:w="7760" w:type="dxa"/>
            <w:vAlign w:val="bottom"/>
          </w:tcPr>
          <w:p>
            <w:pPr>
              <w:ind w:left="220"/>
              <w:spacing w:after="0"/>
              <w:rPr>
                <w:sz w:val="20"/>
                <w:szCs w:val="20"/>
                <w:color w:val="auto"/>
              </w:rPr>
            </w:pPr>
            <w:r>
              <w:rPr>
                <w:rFonts w:ascii="Arial" w:cs="Arial" w:eastAsia="Arial" w:hAnsi="Arial"/>
                <w:sz w:val="18"/>
                <w:szCs w:val="18"/>
                <w:color w:val="auto"/>
              </w:rPr>
              <w:t>Interest Rates and Letter of Credit Fee: Rates, Payments, and Calculations</w:t>
            </w:r>
          </w:p>
        </w:tc>
        <w:tc>
          <w:tcPr>
            <w:tcW w:w="2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2.7</w:t>
            </w:r>
          </w:p>
        </w:tc>
        <w:tc>
          <w:tcPr>
            <w:tcW w:w="7760" w:type="dxa"/>
            <w:vAlign w:val="bottom"/>
          </w:tcPr>
          <w:p>
            <w:pPr>
              <w:ind w:left="220"/>
              <w:spacing w:after="0"/>
              <w:rPr>
                <w:sz w:val="20"/>
                <w:szCs w:val="20"/>
                <w:color w:val="auto"/>
              </w:rPr>
            </w:pPr>
            <w:r>
              <w:rPr>
                <w:rFonts w:ascii="Arial" w:cs="Arial" w:eastAsia="Arial" w:hAnsi="Arial"/>
                <w:sz w:val="18"/>
                <w:szCs w:val="18"/>
                <w:color w:val="auto"/>
              </w:rPr>
              <w:t>Crediting Payments</w:t>
            </w:r>
          </w:p>
        </w:tc>
        <w:tc>
          <w:tcPr>
            <w:tcW w:w="27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2.8</w:t>
            </w:r>
          </w:p>
        </w:tc>
        <w:tc>
          <w:tcPr>
            <w:tcW w:w="7760" w:type="dxa"/>
            <w:vAlign w:val="bottom"/>
          </w:tcPr>
          <w:p>
            <w:pPr>
              <w:ind w:left="220"/>
              <w:spacing w:after="0"/>
              <w:rPr>
                <w:sz w:val="20"/>
                <w:szCs w:val="20"/>
                <w:color w:val="auto"/>
              </w:rPr>
            </w:pPr>
            <w:r>
              <w:rPr>
                <w:rFonts w:ascii="Arial" w:cs="Arial" w:eastAsia="Arial" w:hAnsi="Arial"/>
                <w:sz w:val="18"/>
                <w:szCs w:val="18"/>
                <w:color w:val="auto"/>
              </w:rPr>
              <w:t>Designated Account</w:t>
            </w:r>
          </w:p>
        </w:tc>
        <w:tc>
          <w:tcPr>
            <w:tcW w:w="27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2.9</w:t>
            </w:r>
          </w:p>
        </w:tc>
        <w:tc>
          <w:tcPr>
            <w:tcW w:w="7760" w:type="dxa"/>
            <w:vAlign w:val="bottom"/>
          </w:tcPr>
          <w:p>
            <w:pPr>
              <w:ind w:left="220"/>
              <w:spacing w:after="0"/>
              <w:rPr>
                <w:sz w:val="20"/>
                <w:szCs w:val="20"/>
                <w:color w:val="auto"/>
              </w:rPr>
            </w:pPr>
            <w:r>
              <w:rPr>
                <w:rFonts w:ascii="Arial" w:cs="Arial" w:eastAsia="Arial" w:hAnsi="Arial"/>
                <w:sz w:val="18"/>
                <w:szCs w:val="18"/>
                <w:color w:val="auto"/>
              </w:rPr>
              <w:t>Maintenance of Loan Account; Statements of Obligations</w:t>
            </w:r>
          </w:p>
        </w:tc>
        <w:tc>
          <w:tcPr>
            <w:tcW w:w="27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2.10</w:t>
            </w:r>
          </w:p>
        </w:tc>
        <w:tc>
          <w:tcPr>
            <w:tcW w:w="7760" w:type="dxa"/>
            <w:vAlign w:val="bottom"/>
          </w:tcPr>
          <w:p>
            <w:pPr>
              <w:ind w:left="220"/>
              <w:spacing w:after="0"/>
              <w:rPr>
                <w:sz w:val="20"/>
                <w:szCs w:val="20"/>
                <w:color w:val="auto"/>
              </w:rPr>
            </w:pPr>
            <w:r>
              <w:rPr>
                <w:rFonts w:ascii="Arial" w:cs="Arial" w:eastAsia="Arial" w:hAnsi="Arial"/>
                <w:sz w:val="18"/>
                <w:szCs w:val="18"/>
                <w:color w:val="auto"/>
              </w:rPr>
              <w:t>Fees</w:t>
            </w:r>
          </w:p>
        </w:tc>
        <w:tc>
          <w:tcPr>
            <w:tcW w:w="27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2.11</w:t>
            </w:r>
          </w:p>
        </w:tc>
        <w:tc>
          <w:tcPr>
            <w:tcW w:w="7760" w:type="dxa"/>
            <w:vAlign w:val="bottom"/>
          </w:tcPr>
          <w:p>
            <w:pPr>
              <w:ind w:left="220"/>
              <w:spacing w:after="0"/>
              <w:rPr>
                <w:sz w:val="20"/>
                <w:szCs w:val="20"/>
                <w:color w:val="auto"/>
              </w:rPr>
            </w:pPr>
            <w:r>
              <w:rPr>
                <w:rFonts w:ascii="Arial" w:cs="Arial" w:eastAsia="Arial" w:hAnsi="Arial"/>
                <w:sz w:val="18"/>
                <w:szCs w:val="18"/>
                <w:color w:val="auto"/>
              </w:rPr>
              <w:t>Letters of Credit</w:t>
            </w:r>
          </w:p>
        </w:tc>
        <w:tc>
          <w:tcPr>
            <w:tcW w:w="27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2.12</w:t>
            </w:r>
          </w:p>
        </w:tc>
        <w:tc>
          <w:tcPr>
            <w:tcW w:w="7760" w:type="dxa"/>
            <w:vAlign w:val="bottom"/>
          </w:tcPr>
          <w:p>
            <w:pPr>
              <w:ind w:left="220"/>
              <w:spacing w:after="0"/>
              <w:rPr>
                <w:sz w:val="20"/>
                <w:szCs w:val="20"/>
                <w:color w:val="auto"/>
              </w:rPr>
            </w:pPr>
            <w:r>
              <w:rPr>
                <w:rFonts w:ascii="Arial" w:cs="Arial" w:eastAsia="Arial" w:hAnsi="Arial"/>
                <w:sz w:val="18"/>
                <w:szCs w:val="18"/>
                <w:color w:val="auto"/>
              </w:rPr>
              <w:t>LIBOR Option</w:t>
            </w:r>
          </w:p>
        </w:tc>
        <w:tc>
          <w:tcPr>
            <w:tcW w:w="2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2.13</w:t>
            </w:r>
          </w:p>
        </w:tc>
        <w:tc>
          <w:tcPr>
            <w:tcW w:w="7760" w:type="dxa"/>
            <w:vAlign w:val="bottom"/>
          </w:tcPr>
          <w:p>
            <w:pPr>
              <w:ind w:left="220"/>
              <w:spacing w:after="0"/>
              <w:rPr>
                <w:sz w:val="20"/>
                <w:szCs w:val="20"/>
                <w:color w:val="auto"/>
              </w:rPr>
            </w:pPr>
            <w:r>
              <w:rPr>
                <w:rFonts w:ascii="Arial" w:cs="Arial" w:eastAsia="Arial" w:hAnsi="Arial"/>
                <w:sz w:val="18"/>
                <w:szCs w:val="18"/>
                <w:color w:val="auto"/>
              </w:rPr>
              <w:t>Capital Requirements</w:t>
            </w:r>
          </w:p>
        </w:tc>
        <w:tc>
          <w:tcPr>
            <w:tcW w:w="2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2.14</w:t>
            </w:r>
          </w:p>
        </w:tc>
        <w:tc>
          <w:tcPr>
            <w:tcW w:w="7760" w:type="dxa"/>
            <w:vAlign w:val="bottom"/>
          </w:tcPr>
          <w:p>
            <w:pPr>
              <w:ind w:left="220"/>
              <w:spacing w:after="0"/>
              <w:rPr>
                <w:sz w:val="20"/>
                <w:szCs w:val="20"/>
                <w:color w:val="auto"/>
              </w:rPr>
            </w:pPr>
            <w:r>
              <w:rPr>
                <w:rFonts w:ascii="Arial" w:cs="Arial" w:eastAsia="Arial" w:hAnsi="Arial"/>
                <w:sz w:val="18"/>
                <w:szCs w:val="18"/>
                <w:color w:val="auto"/>
              </w:rPr>
              <w:t>[Reserved]</w:t>
            </w:r>
          </w:p>
        </w:tc>
        <w:tc>
          <w:tcPr>
            <w:tcW w:w="27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2.15</w:t>
            </w:r>
          </w:p>
        </w:tc>
        <w:tc>
          <w:tcPr>
            <w:tcW w:w="7760" w:type="dxa"/>
            <w:vAlign w:val="bottom"/>
          </w:tcPr>
          <w:p>
            <w:pPr>
              <w:ind w:left="220"/>
              <w:spacing w:after="0"/>
              <w:rPr>
                <w:sz w:val="20"/>
                <w:szCs w:val="20"/>
                <w:color w:val="auto"/>
              </w:rPr>
            </w:pPr>
            <w:r>
              <w:rPr>
                <w:rFonts w:ascii="Arial" w:cs="Arial" w:eastAsia="Arial" w:hAnsi="Arial"/>
                <w:sz w:val="18"/>
                <w:szCs w:val="18"/>
                <w:color w:val="auto"/>
              </w:rPr>
              <w:t>Joint and Several Liability of Borrowers</w:t>
            </w:r>
          </w:p>
        </w:tc>
        <w:tc>
          <w:tcPr>
            <w:tcW w:w="27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3.</w:t>
            </w:r>
          </w:p>
        </w:tc>
        <w:tc>
          <w:tcPr>
            <w:tcW w:w="7760" w:type="dxa"/>
            <w:vAlign w:val="bottom"/>
          </w:tcPr>
          <w:p>
            <w:pPr>
              <w:ind w:left="220"/>
              <w:spacing w:after="0"/>
              <w:rPr>
                <w:sz w:val="20"/>
                <w:szCs w:val="20"/>
                <w:color w:val="auto"/>
              </w:rPr>
            </w:pPr>
            <w:r>
              <w:rPr>
                <w:rFonts w:ascii="Arial" w:cs="Arial" w:eastAsia="Arial" w:hAnsi="Arial"/>
                <w:sz w:val="18"/>
                <w:szCs w:val="18"/>
                <w:color w:val="auto"/>
              </w:rPr>
              <w:t>CONDITIONS; TERM OF AGREEMENT</w:t>
            </w:r>
          </w:p>
        </w:tc>
        <w:tc>
          <w:tcPr>
            <w:tcW w:w="2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3.1</w:t>
            </w:r>
          </w:p>
        </w:tc>
        <w:tc>
          <w:tcPr>
            <w:tcW w:w="7760" w:type="dxa"/>
            <w:vAlign w:val="bottom"/>
          </w:tcPr>
          <w:p>
            <w:pPr>
              <w:ind w:left="220"/>
              <w:spacing w:after="0"/>
              <w:rPr>
                <w:sz w:val="20"/>
                <w:szCs w:val="20"/>
                <w:color w:val="auto"/>
              </w:rPr>
            </w:pPr>
            <w:r>
              <w:rPr>
                <w:rFonts w:ascii="Arial" w:cs="Arial" w:eastAsia="Arial" w:hAnsi="Arial"/>
                <w:sz w:val="18"/>
                <w:szCs w:val="18"/>
                <w:color w:val="auto"/>
              </w:rPr>
              <w:t>Conditions Precedent to the Initial Extension of Credit</w:t>
            </w:r>
          </w:p>
        </w:tc>
        <w:tc>
          <w:tcPr>
            <w:tcW w:w="2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3.2</w:t>
            </w:r>
          </w:p>
        </w:tc>
        <w:tc>
          <w:tcPr>
            <w:tcW w:w="7760" w:type="dxa"/>
            <w:vAlign w:val="bottom"/>
          </w:tcPr>
          <w:p>
            <w:pPr>
              <w:ind w:left="220"/>
              <w:spacing w:after="0"/>
              <w:rPr>
                <w:sz w:val="20"/>
                <w:szCs w:val="20"/>
                <w:color w:val="auto"/>
              </w:rPr>
            </w:pPr>
            <w:r>
              <w:rPr>
                <w:rFonts w:ascii="Arial" w:cs="Arial" w:eastAsia="Arial" w:hAnsi="Arial"/>
                <w:sz w:val="18"/>
                <w:szCs w:val="18"/>
                <w:color w:val="auto"/>
              </w:rPr>
              <w:t>Conditions Precedent to all Extensions of Credit</w:t>
            </w:r>
          </w:p>
        </w:tc>
        <w:tc>
          <w:tcPr>
            <w:tcW w:w="2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3.3</w:t>
            </w:r>
          </w:p>
        </w:tc>
        <w:tc>
          <w:tcPr>
            <w:tcW w:w="7760" w:type="dxa"/>
            <w:vAlign w:val="bottom"/>
          </w:tcPr>
          <w:p>
            <w:pPr>
              <w:ind w:left="220"/>
              <w:spacing w:after="0"/>
              <w:rPr>
                <w:sz w:val="20"/>
                <w:szCs w:val="20"/>
                <w:color w:val="auto"/>
              </w:rPr>
            </w:pPr>
            <w:r>
              <w:rPr>
                <w:rFonts w:ascii="Arial" w:cs="Arial" w:eastAsia="Arial" w:hAnsi="Arial"/>
                <w:sz w:val="18"/>
                <w:szCs w:val="18"/>
                <w:color w:val="auto"/>
              </w:rPr>
              <w:t>Maturity</w:t>
            </w:r>
          </w:p>
        </w:tc>
        <w:tc>
          <w:tcPr>
            <w:tcW w:w="2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3.4</w:t>
            </w:r>
          </w:p>
        </w:tc>
        <w:tc>
          <w:tcPr>
            <w:tcW w:w="7760" w:type="dxa"/>
            <w:vAlign w:val="bottom"/>
          </w:tcPr>
          <w:p>
            <w:pPr>
              <w:ind w:left="220"/>
              <w:spacing w:after="0"/>
              <w:rPr>
                <w:sz w:val="20"/>
                <w:szCs w:val="20"/>
                <w:color w:val="auto"/>
              </w:rPr>
            </w:pPr>
            <w:r>
              <w:rPr>
                <w:rFonts w:ascii="Arial" w:cs="Arial" w:eastAsia="Arial" w:hAnsi="Arial"/>
                <w:sz w:val="18"/>
                <w:szCs w:val="18"/>
                <w:color w:val="auto"/>
              </w:rPr>
              <w:t>Effect of Maturity</w:t>
            </w:r>
          </w:p>
        </w:tc>
        <w:tc>
          <w:tcPr>
            <w:tcW w:w="2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3.5</w:t>
            </w:r>
          </w:p>
        </w:tc>
        <w:tc>
          <w:tcPr>
            <w:tcW w:w="7760" w:type="dxa"/>
            <w:vAlign w:val="bottom"/>
          </w:tcPr>
          <w:p>
            <w:pPr>
              <w:ind w:left="220"/>
              <w:spacing w:after="0"/>
              <w:rPr>
                <w:sz w:val="20"/>
                <w:szCs w:val="20"/>
                <w:color w:val="auto"/>
              </w:rPr>
            </w:pPr>
            <w:r>
              <w:rPr>
                <w:rFonts w:ascii="Arial" w:cs="Arial" w:eastAsia="Arial" w:hAnsi="Arial"/>
                <w:sz w:val="18"/>
                <w:szCs w:val="18"/>
                <w:color w:val="auto"/>
              </w:rPr>
              <w:t>Early Termination by Borrowers</w:t>
            </w:r>
          </w:p>
        </w:tc>
        <w:tc>
          <w:tcPr>
            <w:tcW w:w="2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3.6</w:t>
            </w:r>
          </w:p>
        </w:tc>
        <w:tc>
          <w:tcPr>
            <w:tcW w:w="7760" w:type="dxa"/>
            <w:vAlign w:val="bottom"/>
          </w:tcPr>
          <w:p>
            <w:pPr>
              <w:ind w:left="220"/>
              <w:spacing w:after="0"/>
              <w:rPr>
                <w:sz w:val="20"/>
                <w:szCs w:val="20"/>
                <w:color w:val="auto"/>
              </w:rPr>
            </w:pPr>
            <w:r>
              <w:rPr>
                <w:rFonts w:ascii="Arial" w:cs="Arial" w:eastAsia="Arial" w:hAnsi="Arial"/>
                <w:sz w:val="18"/>
                <w:szCs w:val="18"/>
                <w:color w:val="auto"/>
              </w:rPr>
              <w:t>Conditions Subsequent</w:t>
            </w:r>
          </w:p>
        </w:tc>
        <w:tc>
          <w:tcPr>
            <w:tcW w:w="2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4.</w:t>
            </w:r>
          </w:p>
        </w:tc>
        <w:tc>
          <w:tcPr>
            <w:tcW w:w="7760" w:type="dxa"/>
            <w:vAlign w:val="bottom"/>
          </w:tcPr>
          <w:p>
            <w:pPr>
              <w:ind w:left="220"/>
              <w:spacing w:after="0"/>
              <w:rPr>
                <w:sz w:val="20"/>
                <w:szCs w:val="20"/>
                <w:color w:val="auto"/>
              </w:rPr>
            </w:pPr>
            <w:r>
              <w:rPr>
                <w:rFonts w:ascii="Arial" w:cs="Arial" w:eastAsia="Arial" w:hAnsi="Arial"/>
                <w:sz w:val="18"/>
                <w:szCs w:val="18"/>
                <w:color w:val="auto"/>
              </w:rPr>
              <w:t>REPRESENTATIONS AND WARRANTIES</w:t>
            </w:r>
          </w:p>
        </w:tc>
        <w:tc>
          <w:tcPr>
            <w:tcW w:w="2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4.1</w:t>
            </w:r>
          </w:p>
        </w:tc>
        <w:tc>
          <w:tcPr>
            <w:tcW w:w="7760" w:type="dxa"/>
            <w:vAlign w:val="bottom"/>
          </w:tcPr>
          <w:p>
            <w:pPr>
              <w:ind w:left="220"/>
              <w:spacing w:after="0"/>
              <w:rPr>
                <w:sz w:val="20"/>
                <w:szCs w:val="20"/>
                <w:color w:val="auto"/>
              </w:rPr>
            </w:pPr>
            <w:r>
              <w:rPr>
                <w:rFonts w:ascii="Arial" w:cs="Arial" w:eastAsia="Arial" w:hAnsi="Arial"/>
                <w:sz w:val="18"/>
                <w:szCs w:val="18"/>
                <w:color w:val="auto"/>
              </w:rPr>
              <w:t>Due Organization and Qualification; Subsidiaries</w:t>
            </w:r>
          </w:p>
        </w:tc>
        <w:tc>
          <w:tcPr>
            <w:tcW w:w="2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4.2</w:t>
            </w:r>
          </w:p>
        </w:tc>
        <w:tc>
          <w:tcPr>
            <w:tcW w:w="7760" w:type="dxa"/>
            <w:vAlign w:val="bottom"/>
          </w:tcPr>
          <w:p>
            <w:pPr>
              <w:ind w:left="220"/>
              <w:spacing w:after="0"/>
              <w:rPr>
                <w:sz w:val="20"/>
                <w:szCs w:val="20"/>
                <w:color w:val="auto"/>
              </w:rPr>
            </w:pPr>
            <w:r>
              <w:rPr>
                <w:rFonts w:ascii="Arial" w:cs="Arial" w:eastAsia="Arial" w:hAnsi="Arial"/>
                <w:sz w:val="18"/>
                <w:szCs w:val="18"/>
                <w:color w:val="auto"/>
              </w:rPr>
              <w:t>Due Authorization; No Conflict</w:t>
            </w:r>
          </w:p>
        </w:tc>
        <w:tc>
          <w:tcPr>
            <w:tcW w:w="2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4.3</w:t>
            </w:r>
          </w:p>
        </w:tc>
        <w:tc>
          <w:tcPr>
            <w:tcW w:w="7760" w:type="dxa"/>
            <w:vAlign w:val="bottom"/>
          </w:tcPr>
          <w:p>
            <w:pPr>
              <w:ind w:left="220"/>
              <w:spacing w:after="0"/>
              <w:rPr>
                <w:sz w:val="20"/>
                <w:szCs w:val="20"/>
                <w:color w:val="auto"/>
              </w:rPr>
            </w:pPr>
            <w:r>
              <w:rPr>
                <w:rFonts w:ascii="Arial" w:cs="Arial" w:eastAsia="Arial" w:hAnsi="Arial"/>
                <w:sz w:val="18"/>
                <w:szCs w:val="18"/>
                <w:color w:val="auto"/>
              </w:rPr>
              <w:t>Governmental Consents</w:t>
            </w:r>
          </w:p>
        </w:tc>
        <w:tc>
          <w:tcPr>
            <w:tcW w:w="2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4.4</w:t>
            </w:r>
          </w:p>
        </w:tc>
        <w:tc>
          <w:tcPr>
            <w:tcW w:w="7760" w:type="dxa"/>
            <w:vAlign w:val="bottom"/>
          </w:tcPr>
          <w:p>
            <w:pPr>
              <w:ind w:left="220"/>
              <w:spacing w:after="0"/>
              <w:rPr>
                <w:sz w:val="20"/>
                <w:szCs w:val="20"/>
                <w:color w:val="auto"/>
              </w:rPr>
            </w:pPr>
            <w:r>
              <w:rPr>
                <w:rFonts w:ascii="Arial" w:cs="Arial" w:eastAsia="Arial" w:hAnsi="Arial"/>
                <w:sz w:val="18"/>
                <w:szCs w:val="18"/>
                <w:color w:val="auto"/>
              </w:rPr>
              <w:t>Binding Obligations; Perfected Liens</w:t>
            </w:r>
          </w:p>
        </w:tc>
        <w:tc>
          <w:tcPr>
            <w:tcW w:w="2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4.5</w:t>
            </w:r>
          </w:p>
        </w:tc>
        <w:tc>
          <w:tcPr>
            <w:tcW w:w="7760" w:type="dxa"/>
            <w:vAlign w:val="bottom"/>
          </w:tcPr>
          <w:p>
            <w:pPr>
              <w:ind w:left="220"/>
              <w:spacing w:after="0"/>
              <w:rPr>
                <w:sz w:val="20"/>
                <w:szCs w:val="20"/>
                <w:color w:val="auto"/>
              </w:rPr>
            </w:pPr>
            <w:r>
              <w:rPr>
                <w:rFonts w:ascii="Arial" w:cs="Arial" w:eastAsia="Arial" w:hAnsi="Arial"/>
                <w:sz w:val="18"/>
                <w:szCs w:val="18"/>
                <w:color w:val="auto"/>
              </w:rPr>
              <w:t>Title to Assets; No Encumbrances</w:t>
            </w:r>
          </w:p>
        </w:tc>
        <w:tc>
          <w:tcPr>
            <w:tcW w:w="2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4.6</w:t>
            </w:r>
          </w:p>
        </w:tc>
        <w:tc>
          <w:tcPr>
            <w:tcW w:w="776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27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4.7</w:t>
            </w:r>
          </w:p>
        </w:tc>
        <w:tc>
          <w:tcPr>
            <w:tcW w:w="7760" w:type="dxa"/>
            <w:vAlign w:val="bottom"/>
          </w:tcPr>
          <w:p>
            <w:pPr>
              <w:ind w:left="220"/>
              <w:spacing w:after="0"/>
              <w:rPr>
                <w:sz w:val="20"/>
                <w:szCs w:val="20"/>
                <w:color w:val="auto"/>
              </w:rPr>
            </w:pPr>
            <w:r>
              <w:rPr>
                <w:rFonts w:ascii="Arial" w:cs="Arial" w:eastAsia="Arial" w:hAnsi="Arial"/>
                <w:sz w:val="18"/>
                <w:szCs w:val="18"/>
                <w:color w:val="auto"/>
              </w:rPr>
              <w:t>Compliance with Laws</w:t>
            </w:r>
          </w:p>
        </w:tc>
        <w:tc>
          <w:tcPr>
            <w:tcW w:w="27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4.8</w:t>
            </w:r>
          </w:p>
        </w:tc>
        <w:tc>
          <w:tcPr>
            <w:tcW w:w="7760" w:type="dxa"/>
            <w:vAlign w:val="bottom"/>
          </w:tcPr>
          <w:p>
            <w:pPr>
              <w:ind w:left="220"/>
              <w:spacing w:after="0"/>
              <w:rPr>
                <w:sz w:val="20"/>
                <w:szCs w:val="20"/>
                <w:color w:val="auto"/>
              </w:rPr>
            </w:pPr>
            <w:r>
              <w:rPr>
                <w:rFonts w:ascii="Arial" w:cs="Arial" w:eastAsia="Arial" w:hAnsi="Arial"/>
                <w:sz w:val="18"/>
                <w:szCs w:val="18"/>
                <w:color w:val="auto"/>
              </w:rPr>
              <w:t>No Material Adverse Effect</w:t>
            </w:r>
          </w:p>
        </w:tc>
        <w:tc>
          <w:tcPr>
            <w:tcW w:w="27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4.9</w:t>
            </w:r>
          </w:p>
        </w:tc>
        <w:tc>
          <w:tcPr>
            <w:tcW w:w="7760" w:type="dxa"/>
            <w:vAlign w:val="bottom"/>
          </w:tcPr>
          <w:p>
            <w:pPr>
              <w:ind w:left="220"/>
              <w:spacing w:after="0"/>
              <w:rPr>
                <w:sz w:val="20"/>
                <w:szCs w:val="20"/>
                <w:color w:val="auto"/>
              </w:rPr>
            </w:pPr>
            <w:r>
              <w:rPr>
                <w:rFonts w:ascii="Arial" w:cs="Arial" w:eastAsia="Arial" w:hAnsi="Arial"/>
                <w:sz w:val="18"/>
                <w:szCs w:val="18"/>
                <w:color w:val="auto"/>
              </w:rPr>
              <w:t>Solvency</w:t>
            </w:r>
          </w:p>
        </w:tc>
        <w:tc>
          <w:tcPr>
            <w:tcW w:w="27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4.10</w:t>
            </w:r>
          </w:p>
        </w:tc>
        <w:tc>
          <w:tcPr>
            <w:tcW w:w="7760" w:type="dxa"/>
            <w:vAlign w:val="bottom"/>
          </w:tcPr>
          <w:p>
            <w:pPr>
              <w:ind w:left="220"/>
              <w:spacing w:after="0"/>
              <w:rPr>
                <w:sz w:val="20"/>
                <w:szCs w:val="20"/>
                <w:color w:val="auto"/>
              </w:rPr>
            </w:pPr>
            <w:r>
              <w:rPr>
                <w:rFonts w:ascii="Arial" w:cs="Arial" w:eastAsia="Arial" w:hAnsi="Arial"/>
                <w:sz w:val="18"/>
                <w:szCs w:val="18"/>
                <w:color w:val="auto"/>
              </w:rPr>
              <w:t>Employee Benefits</w:t>
            </w:r>
          </w:p>
        </w:tc>
        <w:tc>
          <w:tcPr>
            <w:tcW w:w="27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4.11</w:t>
            </w:r>
          </w:p>
        </w:tc>
        <w:tc>
          <w:tcPr>
            <w:tcW w:w="7760" w:type="dxa"/>
            <w:vAlign w:val="bottom"/>
          </w:tcPr>
          <w:p>
            <w:pPr>
              <w:ind w:left="220"/>
              <w:spacing w:after="0"/>
              <w:rPr>
                <w:sz w:val="20"/>
                <w:szCs w:val="20"/>
                <w:color w:val="auto"/>
              </w:rPr>
            </w:pPr>
            <w:r>
              <w:rPr>
                <w:rFonts w:ascii="Arial" w:cs="Arial" w:eastAsia="Arial" w:hAnsi="Arial"/>
                <w:sz w:val="18"/>
                <w:szCs w:val="18"/>
                <w:color w:val="auto"/>
              </w:rPr>
              <w:t>Environmental Condition</w:t>
            </w:r>
          </w:p>
        </w:tc>
        <w:tc>
          <w:tcPr>
            <w:tcW w:w="27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4.12</w:t>
            </w:r>
          </w:p>
        </w:tc>
        <w:tc>
          <w:tcPr>
            <w:tcW w:w="7760" w:type="dxa"/>
            <w:vAlign w:val="bottom"/>
          </w:tcPr>
          <w:p>
            <w:pPr>
              <w:ind w:left="220"/>
              <w:spacing w:after="0"/>
              <w:rPr>
                <w:sz w:val="20"/>
                <w:szCs w:val="20"/>
                <w:color w:val="auto"/>
              </w:rPr>
            </w:pPr>
            <w:r>
              <w:rPr>
                <w:rFonts w:ascii="Arial" w:cs="Arial" w:eastAsia="Arial" w:hAnsi="Arial"/>
                <w:sz w:val="18"/>
                <w:szCs w:val="18"/>
                <w:color w:val="auto"/>
              </w:rPr>
              <w:t>Complete Disclosure</w:t>
            </w:r>
          </w:p>
        </w:tc>
        <w:tc>
          <w:tcPr>
            <w:tcW w:w="27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4.13</w:t>
            </w:r>
          </w:p>
        </w:tc>
        <w:tc>
          <w:tcPr>
            <w:tcW w:w="7760" w:type="dxa"/>
            <w:vAlign w:val="bottom"/>
          </w:tcPr>
          <w:p>
            <w:pPr>
              <w:ind w:left="220"/>
              <w:spacing w:after="0"/>
              <w:rPr>
                <w:sz w:val="20"/>
                <w:szCs w:val="20"/>
                <w:color w:val="auto"/>
              </w:rPr>
            </w:pPr>
            <w:r>
              <w:rPr>
                <w:rFonts w:ascii="Arial" w:cs="Arial" w:eastAsia="Arial" w:hAnsi="Arial"/>
                <w:sz w:val="18"/>
                <w:szCs w:val="18"/>
                <w:color w:val="auto"/>
              </w:rPr>
              <w:t>Patriot Act</w:t>
            </w:r>
          </w:p>
        </w:tc>
        <w:tc>
          <w:tcPr>
            <w:tcW w:w="27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4.14</w:t>
            </w:r>
          </w:p>
        </w:tc>
        <w:tc>
          <w:tcPr>
            <w:tcW w:w="7760" w:type="dxa"/>
            <w:vAlign w:val="bottom"/>
          </w:tcPr>
          <w:p>
            <w:pPr>
              <w:ind w:left="220"/>
              <w:spacing w:after="0"/>
              <w:rPr>
                <w:sz w:val="20"/>
                <w:szCs w:val="20"/>
                <w:color w:val="auto"/>
              </w:rPr>
            </w:pPr>
            <w:r>
              <w:rPr>
                <w:rFonts w:ascii="Arial" w:cs="Arial" w:eastAsia="Arial" w:hAnsi="Arial"/>
                <w:sz w:val="18"/>
                <w:szCs w:val="18"/>
                <w:color w:val="auto"/>
              </w:rPr>
              <w:t>Indebtedness</w:t>
            </w:r>
          </w:p>
        </w:tc>
        <w:tc>
          <w:tcPr>
            <w:tcW w:w="27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4.15</w:t>
            </w:r>
          </w:p>
        </w:tc>
        <w:tc>
          <w:tcPr>
            <w:tcW w:w="7760" w:type="dxa"/>
            <w:vAlign w:val="bottom"/>
          </w:tcPr>
          <w:p>
            <w:pPr>
              <w:ind w:left="220"/>
              <w:spacing w:after="0"/>
              <w:rPr>
                <w:sz w:val="20"/>
                <w:szCs w:val="20"/>
                <w:color w:val="auto"/>
              </w:rPr>
            </w:pPr>
            <w:r>
              <w:rPr>
                <w:rFonts w:ascii="Arial" w:cs="Arial" w:eastAsia="Arial" w:hAnsi="Arial"/>
                <w:sz w:val="18"/>
                <w:szCs w:val="18"/>
                <w:color w:val="auto"/>
              </w:rPr>
              <w:t>Payment of Taxes</w:t>
            </w:r>
          </w:p>
        </w:tc>
        <w:tc>
          <w:tcPr>
            <w:tcW w:w="27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4.16</w:t>
            </w:r>
          </w:p>
        </w:tc>
        <w:tc>
          <w:tcPr>
            <w:tcW w:w="7760" w:type="dxa"/>
            <w:vAlign w:val="bottom"/>
          </w:tcPr>
          <w:p>
            <w:pPr>
              <w:ind w:left="220"/>
              <w:spacing w:after="0"/>
              <w:rPr>
                <w:sz w:val="20"/>
                <w:szCs w:val="20"/>
                <w:color w:val="auto"/>
              </w:rPr>
            </w:pPr>
            <w:r>
              <w:rPr>
                <w:rFonts w:ascii="Arial" w:cs="Arial" w:eastAsia="Arial" w:hAnsi="Arial"/>
                <w:sz w:val="18"/>
                <w:szCs w:val="18"/>
                <w:color w:val="auto"/>
              </w:rPr>
              <w:t>Margin Stock</w:t>
            </w:r>
          </w:p>
        </w:tc>
        <w:tc>
          <w:tcPr>
            <w:tcW w:w="278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0" w:type="dxa"/>
            <w:vAlign w:val="bottom"/>
          </w:tcPr>
          <w:p>
            <w:pPr>
              <w:spacing w:after="0"/>
              <w:rPr>
                <w:sz w:val="19"/>
                <w:szCs w:val="19"/>
                <w:color w:val="auto"/>
              </w:rPr>
            </w:pPr>
          </w:p>
        </w:tc>
        <w:tc>
          <w:tcPr>
            <w:tcW w:w="8080" w:type="dxa"/>
            <w:vAlign w:val="bottom"/>
          </w:tcPr>
          <w:p>
            <w:pPr>
              <w:spacing w:after="0"/>
              <w:rPr>
                <w:sz w:val="19"/>
                <w:szCs w:val="19"/>
                <w:color w:val="auto"/>
              </w:rPr>
            </w:pPr>
          </w:p>
        </w:tc>
        <w:tc>
          <w:tcPr>
            <w:tcW w:w="2460" w:type="dxa"/>
            <w:vAlign w:val="bottom"/>
          </w:tcPr>
          <w:p>
            <w:pPr>
              <w:jc w:val="right"/>
              <w:ind w:right="430"/>
              <w:spacing w:after="0"/>
              <w:rPr>
                <w:sz w:val="20"/>
                <w:szCs w:val="20"/>
                <w:color w:val="auto"/>
              </w:rPr>
            </w:pPr>
            <w:r>
              <w:rPr>
                <w:rFonts w:ascii="Arial" w:cs="Arial" w:eastAsia="Arial" w:hAnsi="Arial"/>
                <w:sz w:val="18"/>
                <w:szCs w:val="18"/>
                <w:b w:val="1"/>
                <w:bCs w:val="1"/>
                <w:color w:val="auto"/>
              </w:rPr>
              <w:t>Page</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4.17</w:t>
            </w:r>
          </w:p>
        </w:tc>
        <w:tc>
          <w:tcPr>
            <w:tcW w:w="8080" w:type="dxa"/>
            <w:vAlign w:val="bottom"/>
          </w:tcPr>
          <w:p>
            <w:pPr>
              <w:ind w:left="220"/>
              <w:spacing w:after="0"/>
              <w:rPr>
                <w:sz w:val="20"/>
                <w:szCs w:val="20"/>
                <w:color w:val="auto"/>
              </w:rPr>
            </w:pPr>
            <w:r>
              <w:rPr>
                <w:rFonts w:ascii="Arial" w:cs="Arial" w:eastAsia="Arial" w:hAnsi="Arial"/>
                <w:sz w:val="18"/>
                <w:szCs w:val="18"/>
                <w:color w:val="auto"/>
              </w:rPr>
              <w:t>Governmental Regulation</w:t>
            </w:r>
          </w:p>
        </w:tc>
        <w:tc>
          <w:tcPr>
            <w:tcW w:w="24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4.18</w:t>
            </w:r>
          </w:p>
        </w:tc>
        <w:tc>
          <w:tcPr>
            <w:tcW w:w="8080" w:type="dxa"/>
            <w:vAlign w:val="bottom"/>
          </w:tcPr>
          <w:p>
            <w:pPr>
              <w:ind w:left="220"/>
              <w:spacing w:after="0"/>
              <w:rPr>
                <w:sz w:val="20"/>
                <w:szCs w:val="20"/>
                <w:color w:val="auto"/>
              </w:rPr>
            </w:pPr>
            <w:r>
              <w:rPr>
                <w:rFonts w:ascii="Arial" w:cs="Arial" w:eastAsia="Arial" w:hAnsi="Arial"/>
                <w:sz w:val="18"/>
                <w:szCs w:val="18"/>
                <w:color w:val="auto"/>
              </w:rPr>
              <w:t>OFAC; Sanctions; Anti-Corruption Laws; Anti-Money Laundering Laws</w:t>
            </w:r>
          </w:p>
        </w:tc>
        <w:tc>
          <w:tcPr>
            <w:tcW w:w="24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4.19</w:t>
            </w:r>
          </w:p>
        </w:tc>
        <w:tc>
          <w:tcPr>
            <w:tcW w:w="8080" w:type="dxa"/>
            <w:vAlign w:val="bottom"/>
          </w:tcPr>
          <w:p>
            <w:pPr>
              <w:ind w:left="220"/>
              <w:spacing w:after="0"/>
              <w:rPr>
                <w:sz w:val="20"/>
                <w:szCs w:val="20"/>
                <w:color w:val="auto"/>
              </w:rPr>
            </w:pPr>
            <w:r>
              <w:rPr>
                <w:rFonts w:ascii="Arial" w:cs="Arial" w:eastAsia="Arial" w:hAnsi="Arial"/>
                <w:sz w:val="18"/>
                <w:szCs w:val="18"/>
                <w:color w:val="auto"/>
              </w:rPr>
              <w:t>Employee and Labor Matters</w:t>
            </w:r>
          </w:p>
        </w:tc>
        <w:tc>
          <w:tcPr>
            <w:tcW w:w="2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4.20</w:t>
            </w:r>
          </w:p>
        </w:tc>
        <w:tc>
          <w:tcPr>
            <w:tcW w:w="8080" w:type="dxa"/>
            <w:vAlign w:val="bottom"/>
          </w:tcPr>
          <w:p>
            <w:pPr>
              <w:ind w:left="220"/>
              <w:spacing w:after="0"/>
              <w:rPr>
                <w:sz w:val="20"/>
                <w:szCs w:val="20"/>
                <w:color w:val="auto"/>
              </w:rPr>
            </w:pPr>
            <w:r>
              <w:rPr>
                <w:rFonts w:ascii="Arial" w:cs="Arial" w:eastAsia="Arial" w:hAnsi="Arial"/>
                <w:sz w:val="18"/>
                <w:szCs w:val="18"/>
                <w:color w:val="auto"/>
              </w:rPr>
              <w:t>Parent as a Holding Company</w:t>
            </w:r>
          </w:p>
        </w:tc>
        <w:tc>
          <w:tcPr>
            <w:tcW w:w="2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4.21</w:t>
            </w:r>
          </w:p>
        </w:tc>
        <w:tc>
          <w:tcPr>
            <w:tcW w:w="8080" w:type="dxa"/>
            <w:vAlign w:val="bottom"/>
          </w:tcPr>
          <w:p>
            <w:pPr>
              <w:ind w:left="220"/>
              <w:spacing w:after="0"/>
              <w:rPr>
                <w:sz w:val="20"/>
                <w:szCs w:val="20"/>
                <w:color w:val="auto"/>
              </w:rPr>
            </w:pPr>
            <w:r>
              <w:rPr>
                <w:rFonts w:ascii="Arial" w:cs="Arial" w:eastAsia="Arial" w:hAnsi="Arial"/>
                <w:sz w:val="18"/>
                <w:szCs w:val="18"/>
                <w:color w:val="auto"/>
              </w:rPr>
              <w:t>Leases</w:t>
            </w:r>
          </w:p>
        </w:tc>
        <w:tc>
          <w:tcPr>
            <w:tcW w:w="2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4.22</w:t>
            </w:r>
          </w:p>
        </w:tc>
        <w:tc>
          <w:tcPr>
            <w:tcW w:w="8080" w:type="dxa"/>
            <w:vAlign w:val="bottom"/>
          </w:tcPr>
          <w:p>
            <w:pPr>
              <w:ind w:left="220"/>
              <w:spacing w:after="0"/>
              <w:rPr>
                <w:sz w:val="20"/>
                <w:szCs w:val="20"/>
                <w:color w:val="auto"/>
              </w:rPr>
            </w:pPr>
            <w:r>
              <w:rPr>
                <w:rFonts w:ascii="Arial" w:cs="Arial" w:eastAsia="Arial" w:hAnsi="Arial"/>
                <w:sz w:val="18"/>
                <w:szCs w:val="18"/>
                <w:color w:val="auto"/>
              </w:rPr>
              <w:t>Eligible Accounts</w:t>
            </w:r>
          </w:p>
        </w:tc>
        <w:tc>
          <w:tcPr>
            <w:tcW w:w="2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4.23</w:t>
            </w:r>
          </w:p>
        </w:tc>
        <w:tc>
          <w:tcPr>
            <w:tcW w:w="8080" w:type="dxa"/>
            <w:vAlign w:val="bottom"/>
          </w:tcPr>
          <w:p>
            <w:pPr>
              <w:ind w:left="220"/>
              <w:spacing w:after="0"/>
              <w:rPr>
                <w:sz w:val="20"/>
                <w:szCs w:val="20"/>
                <w:color w:val="auto"/>
              </w:rPr>
            </w:pPr>
            <w:r>
              <w:rPr>
                <w:rFonts w:ascii="Arial" w:cs="Arial" w:eastAsia="Arial" w:hAnsi="Arial"/>
                <w:sz w:val="18"/>
                <w:szCs w:val="18"/>
                <w:color w:val="auto"/>
              </w:rPr>
              <w:t>[Reserved]</w:t>
            </w:r>
          </w:p>
        </w:tc>
        <w:tc>
          <w:tcPr>
            <w:tcW w:w="2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4.24</w:t>
            </w:r>
          </w:p>
        </w:tc>
        <w:tc>
          <w:tcPr>
            <w:tcW w:w="8080" w:type="dxa"/>
            <w:vAlign w:val="bottom"/>
          </w:tcPr>
          <w:p>
            <w:pPr>
              <w:ind w:left="220"/>
              <w:spacing w:after="0"/>
              <w:rPr>
                <w:sz w:val="20"/>
                <w:szCs w:val="20"/>
                <w:color w:val="auto"/>
              </w:rPr>
            </w:pPr>
            <w:r>
              <w:rPr>
                <w:rFonts w:ascii="Arial" w:cs="Arial" w:eastAsia="Arial" w:hAnsi="Arial"/>
                <w:sz w:val="18"/>
                <w:szCs w:val="18"/>
                <w:color w:val="auto"/>
              </w:rPr>
              <w:t>Eligible Whole Aircraft Collateral, Eligible Whole Engine Collateral and Eligible Parts</w:t>
            </w:r>
          </w:p>
        </w:tc>
        <w:tc>
          <w:tcPr>
            <w:tcW w:w="2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4.25</w:t>
            </w:r>
          </w:p>
        </w:tc>
        <w:tc>
          <w:tcPr>
            <w:tcW w:w="8080" w:type="dxa"/>
            <w:vAlign w:val="bottom"/>
          </w:tcPr>
          <w:p>
            <w:pPr>
              <w:ind w:left="220"/>
              <w:spacing w:after="0"/>
              <w:rPr>
                <w:sz w:val="20"/>
                <w:szCs w:val="20"/>
                <w:color w:val="auto"/>
              </w:rPr>
            </w:pPr>
            <w:r>
              <w:rPr>
                <w:rFonts w:ascii="Arial" w:cs="Arial" w:eastAsia="Arial" w:hAnsi="Arial"/>
                <w:sz w:val="18"/>
                <w:szCs w:val="18"/>
                <w:color w:val="auto"/>
              </w:rPr>
              <w:t>[Reserved]</w:t>
            </w:r>
          </w:p>
        </w:tc>
        <w:tc>
          <w:tcPr>
            <w:tcW w:w="2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4.26</w:t>
            </w:r>
          </w:p>
        </w:tc>
        <w:tc>
          <w:tcPr>
            <w:tcW w:w="8080" w:type="dxa"/>
            <w:vAlign w:val="bottom"/>
          </w:tcPr>
          <w:p>
            <w:pPr>
              <w:ind w:left="220"/>
              <w:spacing w:after="0"/>
              <w:rPr>
                <w:sz w:val="20"/>
                <w:szCs w:val="20"/>
                <w:color w:val="auto"/>
              </w:rPr>
            </w:pPr>
            <w:r>
              <w:rPr>
                <w:rFonts w:ascii="Arial" w:cs="Arial" w:eastAsia="Arial" w:hAnsi="Arial"/>
                <w:sz w:val="18"/>
                <w:szCs w:val="18"/>
                <w:color w:val="auto"/>
              </w:rPr>
              <w:t>Records</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4.27</w:t>
            </w:r>
          </w:p>
        </w:tc>
        <w:tc>
          <w:tcPr>
            <w:tcW w:w="8080" w:type="dxa"/>
            <w:vAlign w:val="bottom"/>
          </w:tcPr>
          <w:p>
            <w:pPr>
              <w:ind w:left="220"/>
              <w:spacing w:after="0"/>
              <w:rPr>
                <w:sz w:val="20"/>
                <w:szCs w:val="20"/>
                <w:color w:val="auto"/>
              </w:rPr>
            </w:pPr>
            <w:r>
              <w:rPr>
                <w:rFonts w:ascii="Arial" w:cs="Arial" w:eastAsia="Arial" w:hAnsi="Arial"/>
                <w:sz w:val="18"/>
                <w:szCs w:val="18"/>
                <w:color w:val="auto"/>
              </w:rPr>
              <w:t>Material Contracts</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4.28</w:t>
            </w:r>
          </w:p>
        </w:tc>
        <w:tc>
          <w:tcPr>
            <w:tcW w:w="8080" w:type="dxa"/>
            <w:vAlign w:val="bottom"/>
          </w:tcPr>
          <w:p>
            <w:pPr>
              <w:ind w:left="220"/>
              <w:spacing w:after="0"/>
              <w:rPr>
                <w:sz w:val="20"/>
                <w:szCs w:val="20"/>
                <w:color w:val="auto"/>
              </w:rPr>
            </w:pPr>
            <w:r>
              <w:rPr>
                <w:rFonts w:ascii="Arial" w:cs="Arial" w:eastAsia="Arial" w:hAnsi="Arial"/>
                <w:sz w:val="18"/>
                <w:szCs w:val="18"/>
                <w:color w:val="auto"/>
              </w:rPr>
              <w:t>[Reserved]</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4.29</w:t>
            </w:r>
          </w:p>
        </w:tc>
        <w:tc>
          <w:tcPr>
            <w:tcW w:w="8080" w:type="dxa"/>
            <w:vAlign w:val="bottom"/>
          </w:tcPr>
          <w:p>
            <w:pPr>
              <w:ind w:left="220"/>
              <w:spacing w:after="0"/>
              <w:rPr>
                <w:sz w:val="20"/>
                <w:szCs w:val="20"/>
                <w:color w:val="auto"/>
              </w:rPr>
            </w:pPr>
            <w:r>
              <w:rPr>
                <w:rFonts w:ascii="Arial" w:cs="Arial" w:eastAsia="Arial" w:hAnsi="Arial"/>
                <w:sz w:val="18"/>
                <w:szCs w:val="18"/>
                <w:color w:val="auto"/>
              </w:rPr>
              <w:t>[Reserved]</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4.30</w:t>
            </w:r>
          </w:p>
        </w:tc>
        <w:tc>
          <w:tcPr>
            <w:tcW w:w="8080" w:type="dxa"/>
            <w:vAlign w:val="bottom"/>
          </w:tcPr>
          <w:p>
            <w:pPr>
              <w:ind w:left="220"/>
              <w:spacing w:after="0"/>
              <w:rPr>
                <w:sz w:val="20"/>
                <w:szCs w:val="20"/>
                <w:color w:val="auto"/>
              </w:rPr>
            </w:pPr>
            <w:r>
              <w:rPr>
                <w:rFonts w:ascii="Arial" w:cs="Arial" w:eastAsia="Arial" w:hAnsi="Arial"/>
                <w:sz w:val="18"/>
                <w:szCs w:val="18"/>
                <w:color w:val="auto"/>
              </w:rPr>
              <w:t>Hedge Agreements</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4.31</w:t>
            </w:r>
          </w:p>
        </w:tc>
        <w:tc>
          <w:tcPr>
            <w:tcW w:w="8080" w:type="dxa"/>
            <w:vAlign w:val="bottom"/>
          </w:tcPr>
          <w:p>
            <w:pPr>
              <w:ind w:left="220"/>
              <w:spacing w:after="0"/>
              <w:rPr>
                <w:sz w:val="20"/>
                <w:szCs w:val="20"/>
                <w:color w:val="auto"/>
              </w:rPr>
            </w:pPr>
            <w:r>
              <w:rPr>
                <w:rFonts w:ascii="Arial" w:cs="Arial" w:eastAsia="Arial" w:hAnsi="Arial"/>
                <w:sz w:val="18"/>
                <w:szCs w:val="18"/>
                <w:color w:val="auto"/>
              </w:rPr>
              <w:t>Irish Borrowers</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4.32</w:t>
            </w:r>
          </w:p>
        </w:tc>
        <w:tc>
          <w:tcPr>
            <w:tcW w:w="8080" w:type="dxa"/>
            <w:vAlign w:val="bottom"/>
          </w:tcPr>
          <w:p>
            <w:pPr>
              <w:ind w:left="220"/>
              <w:spacing w:after="0"/>
              <w:rPr>
                <w:sz w:val="20"/>
                <w:szCs w:val="20"/>
                <w:color w:val="auto"/>
              </w:rPr>
            </w:pPr>
            <w:r>
              <w:rPr>
                <w:rFonts w:ascii="Arial" w:cs="Arial" w:eastAsia="Arial" w:hAnsi="Arial"/>
                <w:sz w:val="18"/>
                <w:szCs w:val="18"/>
                <w:color w:val="auto"/>
              </w:rPr>
              <w:t>Financial Assistance</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4.33</w:t>
            </w:r>
          </w:p>
        </w:tc>
        <w:tc>
          <w:tcPr>
            <w:tcW w:w="8080" w:type="dxa"/>
            <w:vAlign w:val="bottom"/>
          </w:tcPr>
          <w:p>
            <w:pPr>
              <w:ind w:left="220"/>
              <w:spacing w:after="0"/>
              <w:rPr>
                <w:sz w:val="20"/>
                <w:szCs w:val="20"/>
                <w:color w:val="auto"/>
              </w:rPr>
            </w:pPr>
            <w:r>
              <w:rPr>
                <w:rFonts w:ascii="Arial" w:cs="Arial" w:eastAsia="Arial" w:hAnsi="Arial"/>
                <w:sz w:val="18"/>
                <w:szCs w:val="18"/>
                <w:color w:val="auto"/>
              </w:rPr>
              <w:t>Loans to Directors and Connected Persons</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5.</w:t>
            </w:r>
          </w:p>
        </w:tc>
        <w:tc>
          <w:tcPr>
            <w:tcW w:w="8080" w:type="dxa"/>
            <w:vAlign w:val="bottom"/>
          </w:tcPr>
          <w:p>
            <w:pPr>
              <w:ind w:left="220"/>
              <w:spacing w:after="0"/>
              <w:rPr>
                <w:sz w:val="20"/>
                <w:szCs w:val="20"/>
                <w:color w:val="auto"/>
              </w:rPr>
            </w:pPr>
            <w:r>
              <w:rPr>
                <w:rFonts w:ascii="Arial" w:cs="Arial" w:eastAsia="Arial" w:hAnsi="Arial"/>
                <w:sz w:val="18"/>
                <w:szCs w:val="18"/>
                <w:color w:val="auto"/>
              </w:rPr>
              <w:t>AFFIRMATIVE COVENANTS</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5.1</w:t>
            </w:r>
          </w:p>
        </w:tc>
        <w:tc>
          <w:tcPr>
            <w:tcW w:w="8080" w:type="dxa"/>
            <w:vAlign w:val="bottom"/>
          </w:tcPr>
          <w:p>
            <w:pPr>
              <w:ind w:left="220"/>
              <w:spacing w:after="0"/>
              <w:rPr>
                <w:sz w:val="20"/>
                <w:szCs w:val="20"/>
                <w:color w:val="auto"/>
              </w:rPr>
            </w:pPr>
            <w:r>
              <w:rPr>
                <w:rFonts w:ascii="Arial" w:cs="Arial" w:eastAsia="Arial" w:hAnsi="Arial"/>
                <w:sz w:val="18"/>
                <w:szCs w:val="18"/>
                <w:color w:val="auto"/>
              </w:rPr>
              <w:t>Financial Statements, Reports, Certificates</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5.2</w:t>
            </w:r>
          </w:p>
        </w:tc>
        <w:tc>
          <w:tcPr>
            <w:tcW w:w="8080" w:type="dxa"/>
            <w:vAlign w:val="bottom"/>
          </w:tcPr>
          <w:p>
            <w:pPr>
              <w:ind w:left="220"/>
              <w:spacing w:after="0"/>
              <w:rPr>
                <w:sz w:val="20"/>
                <w:szCs w:val="20"/>
                <w:color w:val="auto"/>
              </w:rPr>
            </w:pPr>
            <w:r>
              <w:rPr>
                <w:rFonts w:ascii="Arial" w:cs="Arial" w:eastAsia="Arial" w:hAnsi="Arial"/>
                <w:sz w:val="18"/>
                <w:szCs w:val="18"/>
                <w:color w:val="auto"/>
              </w:rPr>
              <w:t>Reporting</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5.3</w:t>
            </w:r>
          </w:p>
        </w:tc>
        <w:tc>
          <w:tcPr>
            <w:tcW w:w="8080" w:type="dxa"/>
            <w:vAlign w:val="bottom"/>
          </w:tcPr>
          <w:p>
            <w:pPr>
              <w:ind w:left="220"/>
              <w:spacing w:after="0"/>
              <w:rPr>
                <w:sz w:val="20"/>
                <w:szCs w:val="20"/>
                <w:color w:val="auto"/>
              </w:rPr>
            </w:pPr>
            <w:r>
              <w:rPr>
                <w:rFonts w:ascii="Arial" w:cs="Arial" w:eastAsia="Arial" w:hAnsi="Arial"/>
                <w:sz w:val="18"/>
                <w:szCs w:val="18"/>
                <w:color w:val="auto"/>
              </w:rPr>
              <w:t>Existence</w:t>
            </w:r>
          </w:p>
        </w:tc>
        <w:tc>
          <w:tcPr>
            <w:tcW w:w="24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5.4</w:t>
            </w:r>
          </w:p>
        </w:tc>
        <w:tc>
          <w:tcPr>
            <w:tcW w:w="8080" w:type="dxa"/>
            <w:vAlign w:val="bottom"/>
          </w:tcPr>
          <w:p>
            <w:pPr>
              <w:ind w:left="220"/>
              <w:spacing w:after="0"/>
              <w:rPr>
                <w:sz w:val="20"/>
                <w:szCs w:val="20"/>
                <w:color w:val="auto"/>
              </w:rPr>
            </w:pPr>
            <w:r>
              <w:rPr>
                <w:rFonts w:ascii="Arial" w:cs="Arial" w:eastAsia="Arial" w:hAnsi="Arial"/>
                <w:sz w:val="18"/>
                <w:szCs w:val="18"/>
                <w:color w:val="auto"/>
              </w:rPr>
              <w:t>Maintenance of Properties</w:t>
            </w:r>
          </w:p>
        </w:tc>
        <w:tc>
          <w:tcPr>
            <w:tcW w:w="24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5.5</w:t>
            </w:r>
          </w:p>
        </w:tc>
        <w:tc>
          <w:tcPr>
            <w:tcW w:w="8080" w:type="dxa"/>
            <w:vAlign w:val="bottom"/>
          </w:tcPr>
          <w:p>
            <w:pPr>
              <w:ind w:left="220"/>
              <w:spacing w:after="0"/>
              <w:rPr>
                <w:sz w:val="20"/>
                <w:szCs w:val="20"/>
                <w:color w:val="auto"/>
              </w:rPr>
            </w:pPr>
            <w:r>
              <w:rPr>
                <w:rFonts w:ascii="Arial" w:cs="Arial" w:eastAsia="Arial" w:hAnsi="Arial"/>
                <w:sz w:val="18"/>
                <w:szCs w:val="18"/>
                <w:color w:val="auto"/>
              </w:rPr>
              <w:t>Taxes</w:t>
            </w:r>
          </w:p>
        </w:tc>
        <w:tc>
          <w:tcPr>
            <w:tcW w:w="24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5.6</w:t>
            </w:r>
          </w:p>
        </w:tc>
        <w:tc>
          <w:tcPr>
            <w:tcW w:w="808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24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5.7</w:t>
            </w:r>
          </w:p>
        </w:tc>
        <w:tc>
          <w:tcPr>
            <w:tcW w:w="8080" w:type="dxa"/>
            <w:vAlign w:val="bottom"/>
          </w:tcPr>
          <w:p>
            <w:pPr>
              <w:ind w:left="220"/>
              <w:spacing w:after="0"/>
              <w:rPr>
                <w:sz w:val="20"/>
                <w:szCs w:val="20"/>
                <w:color w:val="auto"/>
              </w:rPr>
            </w:pPr>
            <w:r>
              <w:rPr>
                <w:rFonts w:ascii="Arial" w:cs="Arial" w:eastAsia="Arial" w:hAnsi="Arial"/>
                <w:sz w:val="18"/>
                <w:szCs w:val="18"/>
                <w:color w:val="auto"/>
              </w:rPr>
              <w:t>Inspection</w:t>
            </w:r>
          </w:p>
        </w:tc>
        <w:tc>
          <w:tcPr>
            <w:tcW w:w="2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5.8</w:t>
            </w:r>
          </w:p>
        </w:tc>
        <w:tc>
          <w:tcPr>
            <w:tcW w:w="8080" w:type="dxa"/>
            <w:vAlign w:val="bottom"/>
          </w:tcPr>
          <w:p>
            <w:pPr>
              <w:ind w:left="220"/>
              <w:spacing w:after="0"/>
              <w:rPr>
                <w:sz w:val="20"/>
                <w:szCs w:val="20"/>
                <w:color w:val="auto"/>
              </w:rPr>
            </w:pPr>
            <w:r>
              <w:rPr>
                <w:rFonts w:ascii="Arial" w:cs="Arial" w:eastAsia="Arial" w:hAnsi="Arial"/>
                <w:sz w:val="18"/>
                <w:szCs w:val="18"/>
                <w:color w:val="auto"/>
              </w:rPr>
              <w:t>Compliance with Laws</w:t>
            </w:r>
          </w:p>
        </w:tc>
        <w:tc>
          <w:tcPr>
            <w:tcW w:w="24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5.9</w:t>
            </w:r>
          </w:p>
        </w:tc>
        <w:tc>
          <w:tcPr>
            <w:tcW w:w="8080" w:type="dxa"/>
            <w:vAlign w:val="bottom"/>
          </w:tcPr>
          <w:p>
            <w:pPr>
              <w:ind w:left="220"/>
              <w:spacing w:after="0"/>
              <w:rPr>
                <w:sz w:val="20"/>
                <w:szCs w:val="20"/>
                <w:color w:val="auto"/>
              </w:rPr>
            </w:pPr>
            <w:r>
              <w:rPr>
                <w:rFonts w:ascii="Arial" w:cs="Arial" w:eastAsia="Arial" w:hAnsi="Arial"/>
                <w:sz w:val="18"/>
                <w:szCs w:val="18"/>
                <w:color w:val="auto"/>
              </w:rPr>
              <w:t>Environmental</w:t>
            </w:r>
          </w:p>
        </w:tc>
        <w:tc>
          <w:tcPr>
            <w:tcW w:w="24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5.10</w:t>
            </w:r>
          </w:p>
        </w:tc>
        <w:tc>
          <w:tcPr>
            <w:tcW w:w="8080" w:type="dxa"/>
            <w:vAlign w:val="bottom"/>
          </w:tcPr>
          <w:p>
            <w:pPr>
              <w:ind w:left="220"/>
              <w:spacing w:after="0"/>
              <w:rPr>
                <w:sz w:val="20"/>
                <w:szCs w:val="20"/>
                <w:color w:val="auto"/>
              </w:rPr>
            </w:pPr>
            <w:r>
              <w:rPr>
                <w:rFonts w:ascii="Arial" w:cs="Arial" w:eastAsia="Arial" w:hAnsi="Arial"/>
                <w:sz w:val="18"/>
                <w:szCs w:val="18"/>
                <w:color w:val="auto"/>
              </w:rPr>
              <w:t>Disclosure Updates</w:t>
            </w:r>
          </w:p>
        </w:tc>
        <w:tc>
          <w:tcPr>
            <w:tcW w:w="2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5.11</w:t>
            </w:r>
          </w:p>
        </w:tc>
        <w:tc>
          <w:tcPr>
            <w:tcW w:w="8080" w:type="dxa"/>
            <w:vAlign w:val="bottom"/>
          </w:tcPr>
          <w:p>
            <w:pPr>
              <w:ind w:left="220"/>
              <w:spacing w:after="0"/>
              <w:rPr>
                <w:sz w:val="20"/>
                <w:szCs w:val="20"/>
                <w:color w:val="auto"/>
              </w:rPr>
            </w:pPr>
            <w:r>
              <w:rPr>
                <w:rFonts w:ascii="Arial" w:cs="Arial" w:eastAsia="Arial" w:hAnsi="Arial"/>
                <w:sz w:val="18"/>
                <w:szCs w:val="18"/>
                <w:color w:val="auto"/>
              </w:rPr>
              <w:t>Formation of Subsidiaries</w:t>
            </w:r>
          </w:p>
        </w:tc>
        <w:tc>
          <w:tcPr>
            <w:tcW w:w="2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5.12</w:t>
            </w:r>
          </w:p>
        </w:tc>
        <w:tc>
          <w:tcPr>
            <w:tcW w:w="808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24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5.13</w:t>
            </w:r>
          </w:p>
        </w:tc>
        <w:tc>
          <w:tcPr>
            <w:tcW w:w="8080" w:type="dxa"/>
            <w:vAlign w:val="bottom"/>
          </w:tcPr>
          <w:p>
            <w:pPr>
              <w:ind w:left="220"/>
              <w:spacing w:after="0"/>
              <w:rPr>
                <w:sz w:val="20"/>
                <w:szCs w:val="20"/>
                <w:color w:val="auto"/>
              </w:rPr>
            </w:pPr>
            <w:r>
              <w:rPr>
                <w:rFonts w:ascii="Arial" w:cs="Arial" w:eastAsia="Arial" w:hAnsi="Arial"/>
                <w:sz w:val="18"/>
                <w:szCs w:val="18"/>
                <w:color w:val="auto"/>
              </w:rPr>
              <w:t>Lender Meetings</w:t>
            </w:r>
          </w:p>
        </w:tc>
        <w:tc>
          <w:tcPr>
            <w:tcW w:w="24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5.14</w:t>
            </w:r>
          </w:p>
        </w:tc>
        <w:tc>
          <w:tcPr>
            <w:tcW w:w="8080" w:type="dxa"/>
            <w:vAlign w:val="bottom"/>
          </w:tcPr>
          <w:p>
            <w:pPr>
              <w:ind w:left="220"/>
              <w:spacing w:after="0"/>
              <w:rPr>
                <w:sz w:val="20"/>
                <w:szCs w:val="20"/>
                <w:color w:val="auto"/>
              </w:rPr>
            </w:pPr>
            <w:r>
              <w:rPr>
                <w:rFonts w:ascii="Arial" w:cs="Arial" w:eastAsia="Arial" w:hAnsi="Arial"/>
                <w:sz w:val="18"/>
                <w:szCs w:val="18"/>
                <w:color w:val="auto"/>
              </w:rPr>
              <w:t>Chief Executive Offices</w:t>
            </w:r>
          </w:p>
        </w:tc>
        <w:tc>
          <w:tcPr>
            <w:tcW w:w="24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5.15</w:t>
            </w:r>
          </w:p>
        </w:tc>
        <w:tc>
          <w:tcPr>
            <w:tcW w:w="8080" w:type="dxa"/>
            <w:vAlign w:val="bottom"/>
          </w:tcPr>
          <w:p>
            <w:pPr>
              <w:ind w:left="220"/>
              <w:spacing w:after="0"/>
              <w:rPr>
                <w:sz w:val="20"/>
                <w:szCs w:val="20"/>
                <w:color w:val="auto"/>
              </w:rPr>
            </w:pPr>
            <w:r>
              <w:rPr>
                <w:rFonts w:ascii="Arial" w:cs="Arial" w:eastAsia="Arial" w:hAnsi="Arial"/>
                <w:sz w:val="18"/>
                <w:szCs w:val="18"/>
                <w:color w:val="auto"/>
              </w:rPr>
              <w:t>OFAC; Sanctions; Anti-Corruption Laws; Anti-Money Laundering Laws</w:t>
            </w:r>
          </w:p>
        </w:tc>
        <w:tc>
          <w:tcPr>
            <w:tcW w:w="24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5.16</w:t>
            </w:r>
          </w:p>
        </w:tc>
        <w:tc>
          <w:tcPr>
            <w:tcW w:w="8080" w:type="dxa"/>
            <w:vAlign w:val="bottom"/>
          </w:tcPr>
          <w:p>
            <w:pPr>
              <w:ind w:left="220"/>
              <w:spacing w:after="0"/>
              <w:rPr>
                <w:sz w:val="20"/>
                <w:szCs w:val="20"/>
                <w:color w:val="auto"/>
              </w:rPr>
            </w:pPr>
            <w:r>
              <w:rPr>
                <w:rFonts w:ascii="Arial" w:cs="Arial" w:eastAsia="Arial" w:hAnsi="Arial"/>
                <w:sz w:val="18"/>
                <w:szCs w:val="18"/>
                <w:color w:val="auto"/>
              </w:rPr>
              <w:t>Material Contracts</w:t>
            </w:r>
          </w:p>
        </w:tc>
        <w:tc>
          <w:tcPr>
            <w:tcW w:w="24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5.17</w:t>
            </w:r>
          </w:p>
        </w:tc>
        <w:tc>
          <w:tcPr>
            <w:tcW w:w="8080" w:type="dxa"/>
            <w:vAlign w:val="bottom"/>
          </w:tcPr>
          <w:p>
            <w:pPr>
              <w:ind w:left="220"/>
              <w:spacing w:after="0"/>
              <w:rPr>
                <w:sz w:val="20"/>
                <w:szCs w:val="20"/>
                <w:color w:val="auto"/>
              </w:rPr>
            </w:pPr>
            <w:r>
              <w:rPr>
                <w:rFonts w:ascii="Arial" w:cs="Arial" w:eastAsia="Arial" w:hAnsi="Arial"/>
                <w:sz w:val="18"/>
                <w:szCs w:val="18"/>
                <w:color w:val="auto"/>
              </w:rPr>
              <w:t>[Reserved]</w:t>
            </w:r>
          </w:p>
        </w:tc>
        <w:tc>
          <w:tcPr>
            <w:tcW w:w="24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5.18</w:t>
            </w:r>
          </w:p>
        </w:tc>
        <w:tc>
          <w:tcPr>
            <w:tcW w:w="8080" w:type="dxa"/>
            <w:vAlign w:val="bottom"/>
          </w:tcPr>
          <w:p>
            <w:pPr>
              <w:ind w:left="220"/>
              <w:spacing w:after="0"/>
              <w:rPr>
                <w:sz w:val="20"/>
                <w:szCs w:val="20"/>
                <w:color w:val="auto"/>
              </w:rPr>
            </w:pPr>
            <w:r>
              <w:rPr>
                <w:rFonts w:ascii="Arial" w:cs="Arial" w:eastAsia="Arial" w:hAnsi="Arial"/>
                <w:sz w:val="18"/>
                <w:szCs w:val="18"/>
                <w:color w:val="auto"/>
              </w:rPr>
              <w:t>Designation of Subsidiaries</w:t>
            </w:r>
          </w:p>
        </w:tc>
        <w:tc>
          <w:tcPr>
            <w:tcW w:w="24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6.</w:t>
            </w:r>
          </w:p>
        </w:tc>
        <w:tc>
          <w:tcPr>
            <w:tcW w:w="8080" w:type="dxa"/>
            <w:vAlign w:val="bottom"/>
          </w:tcPr>
          <w:p>
            <w:pPr>
              <w:ind w:left="220"/>
              <w:spacing w:after="0"/>
              <w:rPr>
                <w:sz w:val="20"/>
                <w:szCs w:val="20"/>
                <w:color w:val="auto"/>
              </w:rPr>
            </w:pPr>
            <w:r>
              <w:rPr>
                <w:rFonts w:ascii="Arial" w:cs="Arial" w:eastAsia="Arial" w:hAnsi="Arial"/>
                <w:sz w:val="18"/>
                <w:szCs w:val="18"/>
                <w:color w:val="auto"/>
              </w:rPr>
              <w:t>NEGATIVE COVENANTS</w:t>
            </w:r>
          </w:p>
        </w:tc>
        <w:tc>
          <w:tcPr>
            <w:tcW w:w="24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6.1</w:t>
            </w:r>
          </w:p>
        </w:tc>
        <w:tc>
          <w:tcPr>
            <w:tcW w:w="8080" w:type="dxa"/>
            <w:vAlign w:val="bottom"/>
          </w:tcPr>
          <w:p>
            <w:pPr>
              <w:ind w:left="220"/>
              <w:spacing w:after="0"/>
              <w:rPr>
                <w:sz w:val="20"/>
                <w:szCs w:val="20"/>
                <w:color w:val="auto"/>
              </w:rPr>
            </w:pPr>
            <w:r>
              <w:rPr>
                <w:rFonts w:ascii="Arial" w:cs="Arial" w:eastAsia="Arial" w:hAnsi="Arial"/>
                <w:sz w:val="18"/>
                <w:szCs w:val="18"/>
                <w:color w:val="auto"/>
              </w:rPr>
              <w:t>Indebtedness</w:t>
            </w:r>
          </w:p>
        </w:tc>
        <w:tc>
          <w:tcPr>
            <w:tcW w:w="24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6.2</w:t>
            </w:r>
          </w:p>
        </w:tc>
        <w:tc>
          <w:tcPr>
            <w:tcW w:w="8080" w:type="dxa"/>
            <w:vAlign w:val="bottom"/>
          </w:tcPr>
          <w:p>
            <w:pPr>
              <w:ind w:left="220"/>
              <w:spacing w:after="0"/>
              <w:rPr>
                <w:sz w:val="20"/>
                <w:szCs w:val="20"/>
                <w:color w:val="auto"/>
              </w:rPr>
            </w:pPr>
            <w:r>
              <w:rPr>
                <w:rFonts w:ascii="Arial" w:cs="Arial" w:eastAsia="Arial" w:hAnsi="Arial"/>
                <w:sz w:val="18"/>
                <w:szCs w:val="18"/>
                <w:color w:val="auto"/>
              </w:rPr>
              <w:t>Liens</w:t>
            </w:r>
          </w:p>
        </w:tc>
        <w:tc>
          <w:tcPr>
            <w:tcW w:w="24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6.3</w:t>
            </w:r>
          </w:p>
        </w:tc>
        <w:tc>
          <w:tcPr>
            <w:tcW w:w="8080" w:type="dxa"/>
            <w:vAlign w:val="bottom"/>
          </w:tcPr>
          <w:p>
            <w:pPr>
              <w:ind w:left="220"/>
              <w:spacing w:after="0"/>
              <w:rPr>
                <w:sz w:val="20"/>
                <w:szCs w:val="20"/>
                <w:color w:val="auto"/>
              </w:rPr>
            </w:pPr>
            <w:r>
              <w:rPr>
                <w:rFonts w:ascii="Arial" w:cs="Arial" w:eastAsia="Arial" w:hAnsi="Arial"/>
                <w:sz w:val="18"/>
                <w:szCs w:val="18"/>
                <w:color w:val="auto"/>
              </w:rPr>
              <w:t>Restrictions on Fundamental Changes</w:t>
            </w:r>
          </w:p>
        </w:tc>
        <w:tc>
          <w:tcPr>
            <w:tcW w:w="24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6.4</w:t>
            </w:r>
          </w:p>
        </w:tc>
        <w:tc>
          <w:tcPr>
            <w:tcW w:w="8080" w:type="dxa"/>
            <w:vAlign w:val="bottom"/>
          </w:tcPr>
          <w:p>
            <w:pPr>
              <w:ind w:left="220"/>
              <w:spacing w:after="0"/>
              <w:rPr>
                <w:sz w:val="20"/>
                <w:szCs w:val="20"/>
                <w:color w:val="auto"/>
              </w:rPr>
            </w:pPr>
            <w:r>
              <w:rPr>
                <w:rFonts w:ascii="Arial" w:cs="Arial" w:eastAsia="Arial" w:hAnsi="Arial"/>
                <w:sz w:val="18"/>
                <w:szCs w:val="18"/>
                <w:color w:val="auto"/>
              </w:rPr>
              <w:t>Disposal of Assets</w:t>
            </w:r>
          </w:p>
        </w:tc>
        <w:tc>
          <w:tcPr>
            <w:tcW w:w="24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6.5</w:t>
            </w:r>
          </w:p>
        </w:tc>
        <w:tc>
          <w:tcPr>
            <w:tcW w:w="8080" w:type="dxa"/>
            <w:vAlign w:val="bottom"/>
          </w:tcPr>
          <w:p>
            <w:pPr>
              <w:ind w:left="220"/>
              <w:spacing w:after="0"/>
              <w:rPr>
                <w:sz w:val="20"/>
                <w:szCs w:val="20"/>
                <w:color w:val="auto"/>
              </w:rPr>
            </w:pPr>
            <w:r>
              <w:rPr>
                <w:rFonts w:ascii="Arial" w:cs="Arial" w:eastAsia="Arial" w:hAnsi="Arial"/>
                <w:sz w:val="18"/>
                <w:szCs w:val="18"/>
                <w:color w:val="auto"/>
              </w:rPr>
              <w:t>Nature of Business</w:t>
            </w:r>
          </w:p>
        </w:tc>
        <w:tc>
          <w:tcPr>
            <w:tcW w:w="24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6.6</w:t>
            </w:r>
          </w:p>
        </w:tc>
        <w:tc>
          <w:tcPr>
            <w:tcW w:w="8080" w:type="dxa"/>
            <w:vAlign w:val="bottom"/>
          </w:tcPr>
          <w:p>
            <w:pPr>
              <w:ind w:left="220"/>
              <w:spacing w:after="0"/>
              <w:rPr>
                <w:sz w:val="20"/>
                <w:szCs w:val="20"/>
                <w:color w:val="auto"/>
              </w:rPr>
            </w:pPr>
            <w:r>
              <w:rPr>
                <w:rFonts w:ascii="Arial" w:cs="Arial" w:eastAsia="Arial" w:hAnsi="Arial"/>
                <w:sz w:val="18"/>
                <w:szCs w:val="18"/>
                <w:color w:val="auto"/>
              </w:rPr>
              <w:t>Prepayments and Amendments</w:t>
            </w:r>
          </w:p>
        </w:tc>
        <w:tc>
          <w:tcPr>
            <w:tcW w:w="24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6.7</w:t>
            </w:r>
          </w:p>
        </w:tc>
        <w:tc>
          <w:tcPr>
            <w:tcW w:w="8080" w:type="dxa"/>
            <w:vAlign w:val="bottom"/>
          </w:tcPr>
          <w:p>
            <w:pPr>
              <w:ind w:left="220"/>
              <w:spacing w:after="0"/>
              <w:rPr>
                <w:sz w:val="20"/>
                <w:szCs w:val="20"/>
                <w:color w:val="auto"/>
              </w:rPr>
            </w:pPr>
            <w:r>
              <w:rPr>
                <w:rFonts w:ascii="Arial" w:cs="Arial" w:eastAsia="Arial" w:hAnsi="Arial"/>
                <w:sz w:val="18"/>
                <w:szCs w:val="18"/>
                <w:color w:val="auto"/>
              </w:rPr>
              <w:t>Restricted 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6.8</w:t>
            </w:r>
          </w:p>
        </w:tc>
        <w:tc>
          <w:tcPr>
            <w:tcW w:w="8080" w:type="dxa"/>
            <w:vAlign w:val="bottom"/>
          </w:tcPr>
          <w:p>
            <w:pPr>
              <w:ind w:left="220"/>
              <w:spacing w:after="0"/>
              <w:rPr>
                <w:sz w:val="20"/>
                <w:szCs w:val="20"/>
                <w:color w:val="auto"/>
              </w:rPr>
            </w:pPr>
            <w:r>
              <w:rPr>
                <w:rFonts w:ascii="Arial" w:cs="Arial" w:eastAsia="Arial" w:hAnsi="Arial"/>
                <w:sz w:val="18"/>
                <w:szCs w:val="18"/>
                <w:color w:val="auto"/>
              </w:rPr>
              <w:t>Accounting Methods</w:t>
            </w:r>
          </w:p>
        </w:tc>
        <w:tc>
          <w:tcPr>
            <w:tcW w:w="24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6.9</w:t>
            </w:r>
          </w:p>
        </w:tc>
        <w:tc>
          <w:tcPr>
            <w:tcW w:w="808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24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6.10</w:t>
            </w:r>
          </w:p>
        </w:tc>
        <w:tc>
          <w:tcPr>
            <w:tcW w:w="8080" w:type="dxa"/>
            <w:vAlign w:val="bottom"/>
          </w:tcPr>
          <w:p>
            <w:pPr>
              <w:ind w:left="220"/>
              <w:spacing w:after="0"/>
              <w:rPr>
                <w:sz w:val="20"/>
                <w:szCs w:val="20"/>
                <w:color w:val="auto"/>
              </w:rPr>
            </w:pPr>
            <w:r>
              <w:rPr>
                <w:rFonts w:ascii="Arial" w:cs="Arial" w:eastAsia="Arial" w:hAnsi="Arial"/>
                <w:sz w:val="18"/>
                <w:szCs w:val="18"/>
                <w:color w:val="auto"/>
              </w:rPr>
              <w:t>Transactions with Affiliates</w:t>
            </w:r>
          </w:p>
        </w:tc>
        <w:tc>
          <w:tcPr>
            <w:tcW w:w="24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6.11</w:t>
            </w:r>
          </w:p>
        </w:tc>
        <w:tc>
          <w:tcPr>
            <w:tcW w:w="808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24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6.12</w:t>
            </w:r>
          </w:p>
        </w:tc>
        <w:tc>
          <w:tcPr>
            <w:tcW w:w="8080" w:type="dxa"/>
            <w:vAlign w:val="bottom"/>
          </w:tcPr>
          <w:p>
            <w:pPr>
              <w:ind w:left="220"/>
              <w:spacing w:after="0"/>
              <w:rPr>
                <w:sz w:val="20"/>
                <w:szCs w:val="20"/>
                <w:color w:val="auto"/>
              </w:rPr>
            </w:pPr>
            <w:r>
              <w:rPr>
                <w:rFonts w:ascii="Arial" w:cs="Arial" w:eastAsia="Arial" w:hAnsi="Arial"/>
                <w:sz w:val="18"/>
                <w:szCs w:val="18"/>
                <w:color w:val="auto"/>
              </w:rPr>
              <w:t>Limitation on Issuance of Equity Interests</w:t>
            </w:r>
          </w:p>
        </w:tc>
        <w:tc>
          <w:tcPr>
            <w:tcW w:w="24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6.13</w:t>
            </w:r>
          </w:p>
        </w:tc>
        <w:tc>
          <w:tcPr>
            <w:tcW w:w="8080" w:type="dxa"/>
            <w:vAlign w:val="bottom"/>
          </w:tcPr>
          <w:p>
            <w:pPr>
              <w:ind w:left="220"/>
              <w:spacing w:after="0"/>
              <w:rPr>
                <w:sz w:val="20"/>
                <w:szCs w:val="20"/>
                <w:color w:val="auto"/>
              </w:rPr>
            </w:pPr>
            <w:r>
              <w:rPr>
                <w:rFonts w:ascii="Arial" w:cs="Arial" w:eastAsia="Arial" w:hAnsi="Arial"/>
                <w:sz w:val="18"/>
                <w:szCs w:val="18"/>
                <w:color w:val="auto"/>
              </w:rPr>
              <w:t>Whole Aircraft, Whole Engines or Parts with Bailees</w:t>
            </w:r>
          </w:p>
        </w:tc>
        <w:tc>
          <w:tcPr>
            <w:tcW w:w="24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6.14</w:t>
            </w:r>
          </w:p>
        </w:tc>
        <w:tc>
          <w:tcPr>
            <w:tcW w:w="8080" w:type="dxa"/>
            <w:vAlign w:val="bottom"/>
          </w:tcPr>
          <w:p>
            <w:pPr>
              <w:ind w:left="220"/>
              <w:spacing w:after="0"/>
              <w:rPr>
                <w:sz w:val="20"/>
                <w:szCs w:val="20"/>
                <w:color w:val="auto"/>
              </w:rPr>
            </w:pPr>
            <w:r>
              <w:rPr>
                <w:rFonts w:ascii="Arial" w:cs="Arial" w:eastAsia="Arial" w:hAnsi="Arial"/>
                <w:sz w:val="18"/>
                <w:szCs w:val="18"/>
                <w:color w:val="auto"/>
              </w:rPr>
              <w:t>Parent as Holding Company</w:t>
            </w:r>
          </w:p>
        </w:tc>
        <w:tc>
          <w:tcPr>
            <w:tcW w:w="24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6.15</w:t>
            </w:r>
          </w:p>
        </w:tc>
        <w:tc>
          <w:tcPr>
            <w:tcW w:w="8080" w:type="dxa"/>
            <w:vAlign w:val="bottom"/>
          </w:tcPr>
          <w:p>
            <w:pPr>
              <w:ind w:left="220"/>
              <w:spacing w:after="0"/>
              <w:rPr>
                <w:sz w:val="20"/>
                <w:szCs w:val="20"/>
                <w:color w:val="auto"/>
              </w:rPr>
            </w:pPr>
            <w:r>
              <w:rPr>
                <w:rFonts w:ascii="Arial" w:cs="Arial" w:eastAsia="Arial" w:hAnsi="Arial"/>
                <w:sz w:val="18"/>
                <w:szCs w:val="18"/>
                <w:color w:val="auto"/>
              </w:rPr>
              <w:t>Unrestricted Subsidiary Transactions</w:t>
            </w:r>
          </w:p>
        </w:tc>
        <w:tc>
          <w:tcPr>
            <w:tcW w:w="24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6.16</w:t>
            </w:r>
          </w:p>
        </w:tc>
        <w:tc>
          <w:tcPr>
            <w:tcW w:w="8080" w:type="dxa"/>
            <w:vAlign w:val="bottom"/>
          </w:tcPr>
          <w:p>
            <w:pPr>
              <w:ind w:left="220"/>
              <w:spacing w:after="0"/>
              <w:rPr>
                <w:sz w:val="20"/>
                <w:szCs w:val="20"/>
                <w:color w:val="auto"/>
              </w:rPr>
            </w:pPr>
            <w:r>
              <w:rPr>
                <w:rFonts w:ascii="Arial" w:cs="Arial" w:eastAsia="Arial" w:hAnsi="Arial"/>
                <w:sz w:val="18"/>
                <w:szCs w:val="18"/>
                <w:color w:val="auto"/>
              </w:rPr>
              <w:t>ERISA</w:t>
            </w:r>
          </w:p>
        </w:tc>
        <w:tc>
          <w:tcPr>
            <w:tcW w:w="246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53"/>
        </w:trPr>
        <w:tc>
          <w:tcPr>
            <w:tcW w:w="700" w:type="dxa"/>
            <w:vAlign w:val="bottom"/>
          </w:tcPr>
          <w:p>
            <w:pPr>
              <w:spacing w:after="0"/>
              <w:rPr>
                <w:sz w:val="21"/>
                <w:szCs w:val="21"/>
                <w:color w:val="auto"/>
              </w:rPr>
            </w:pPr>
          </w:p>
        </w:tc>
        <w:tc>
          <w:tcPr>
            <w:tcW w:w="8580" w:type="dxa"/>
            <w:vAlign w:val="bottom"/>
          </w:tcPr>
          <w:p>
            <w:pPr>
              <w:ind w:left="3760"/>
              <w:spacing w:after="0"/>
              <w:rPr>
                <w:sz w:val="20"/>
                <w:szCs w:val="20"/>
                <w:color w:val="auto"/>
              </w:rPr>
            </w:pPr>
            <w:r>
              <w:rPr>
                <w:rFonts w:ascii="Arial" w:cs="Arial" w:eastAsia="Arial" w:hAnsi="Arial"/>
                <w:sz w:val="22"/>
                <w:szCs w:val="22"/>
                <w:b w:val="1"/>
                <w:bCs w:val="1"/>
                <w:color w:val="auto"/>
              </w:rPr>
              <w:t>TABLE OF CONTENTS</w:t>
            </w:r>
          </w:p>
        </w:tc>
        <w:tc>
          <w:tcPr>
            <w:tcW w:w="1960" w:type="dxa"/>
            <w:vAlign w:val="bottom"/>
          </w:tcPr>
          <w:p>
            <w:pPr>
              <w:spacing w:after="0"/>
              <w:rPr>
                <w:sz w:val="21"/>
                <w:szCs w:val="21"/>
                <w:color w:val="auto"/>
              </w:rPr>
            </w:pPr>
          </w:p>
        </w:tc>
      </w:tr>
      <w:tr>
        <w:trPr>
          <w:trHeight w:val="274"/>
        </w:trPr>
        <w:tc>
          <w:tcPr>
            <w:tcW w:w="700" w:type="dxa"/>
            <w:vAlign w:val="bottom"/>
          </w:tcPr>
          <w:p>
            <w:pPr>
              <w:spacing w:after="0"/>
              <w:rPr>
                <w:sz w:val="23"/>
                <w:szCs w:val="23"/>
                <w:color w:val="auto"/>
              </w:rPr>
            </w:pPr>
          </w:p>
        </w:tc>
        <w:tc>
          <w:tcPr>
            <w:tcW w:w="8580" w:type="dxa"/>
            <w:vAlign w:val="bottom"/>
          </w:tcPr>
          <w:p>
            <w:pPr>
              <w:ind w:left="4420"/>
              <w:spacing w:after="0"/>
              <w:rPr>
                <w:sz w:val="20"/>
                <w:szCs w:val="20"/>
                <w:color w:val="auto"/>
              </w:rPr>
            </w:pPr>
            <w:r>
              <w:rPr>
                <w:rFonts w:ascii="Arial" w:cs="Arial" w:eastAsia="Arial" w:hAnsi="Arial"/>
                <w:sz w:val="22"/>
                <w:szCs w:val="22"/>
                <w:color w:val="auto"/>
              </w:rPr>
              <w:t>(continued)</w:t>
            </w:r>
          </w:p>
        </w:tc>
        <w:tc>
          <w:tcPr>
            <w:tcW w:w="1960" w:type="dxa"/>
            <w:vAlign w:val="bottom"/>
          </w:tcPr>
          <w:p>
            <w:pPr>
              <w:spacing w:after="0"/>
              <w:rPr>
                <w:sz w:val="23"/>
                <w:szCs w:val="23"/>
                <w:color w:val="auto"/>
              </w:rPr>
            </w:pPr>
          </w:p>
        </w:tc>
      </w:tr>
      <w:tr>
        <w:trPr>
          <w:trHeight w:val="435"/>
        </w:trPr>
        <w:tc>
          <w:tcPr>
            <w:tcW w:w="70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960" w:type="dxa"/>
            <w:vAlign w:val="bottom"/>
          </w:tcPr>
          <w:p>
            <w:pPr>
              <w:jc w:val="right"/>
              <w:ind w:right="430"/>
              <w:spacing w:after="0"/>
              <w:rPr>
                <w:sz w:val="20"/>
                <w:szCs w:val="20"/>
                <w:color w:val="auto"/>
              </w:rPr>
            </w:pPr>
            <w:r>
              <w:rPr>
                <w:rFonts w:ascii="Arial" w:cs="Arial" w:eastAsia="Arial" w:hAnsi="Arial"/>
                <w:sz w:val="18"/>
                <w:szCs w:val="18"/>
                <w:b w:val="1"/>
                <w:bCs w:val="1"/>
                <w:color w:val="auto"/>
              </w:rPr>
              <w:t>Page</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7.</w:t>
            </w:r>
          </w:p>
        </w:tc>
        <w:tc>
          <w:tcPr>
            <w:tcW w:w="8580" w:type="dxa"/>
            <w:vAlign w:val="bottom"/>
          </w:tcPr>
          <w:p>
            <w:pPr>
              <w:ind w:left="220"/>
              <w:spacing w:after="0"/>
              <w:rPr>
                <w:sz w:val="20"/>
                <w:szCs w:val="20"/>
                <w:color w:val="auto"/>
              </w:rPr>
            </w:pPr>
            <w:r>
              <w:rPr>
                <w:rFonts w:ascii="Arial" w:cs="Arial" w:eastAsia="Arial" w:hAnsi="Arial"/>
                <w:sz w:val="18"/>
                <w:szCs w:val="18"/>
                <w:color w:val="auto"/>
              </w:rPr>
              <w:t>FINANCIAL COVENANTS</w:t>
            </w:r>
          </w:p>
        </w:tc>
        <w:tc>
          <w:tcPr>
            <w:tcW w:w="1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7.1</w:t>
            </w:r>
          </w:p>
        </w:tc>
        <w:tc>
          <w:tcPr>
            <w:tcW w:w="8580" w:type="dxa"/>
            <w:vAlign w:val="bottom"/>
          </w:tcPr>
          <w:p>
            <w:pPr>
              <w:ind w:left="220"/>
              <w:spacing w:after="0"/>
              <w:rPr>
                <w:sz w:val="20"/>
                <w:szCs w:val="20"/>
                <w:color w:val="auto"/>
              </w:rPr>
            </w:pPr>
            <w:r>
              <w:rPr>
                <w:rFonts w:ascii="Arial" w:cs="Arial" w:eastAsia="Arial" w:hAnsi="Arial"/>
                <w:sz w:val="18"/>
                <w:szCs w:val="18"/>
                <w:color w:val="auto"/>
              </w:rPr>
              <w:t>Fixed Charge Coverage Ratio</w:t>
            </w:r>
          </w:p>
        </w:tc>
        <w:tc>
          <w:tcPr>
            <w:tcW w:w="1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8.</w:t>
            </w:r>
          </w:p>
        </w:tc>
        <w:tc>
          <w:tcPr>
            <w:tcW w:w="858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1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8.1</w:t>
            </w:r>
          </w:p>
        </w:tc>
        <w:tc>
          <w:tcPr>
            <w:tcW w:w="8580" w:type="dxa"/>
            <w:vAlign w:val="bottom"/>
          </w:tcPr>
          <w:p>
            <w:pPr>
              <w:ind w:left="220"/>
              <w:spacing w:after="0"/>
              <w:rPr>
                <w:sz w:val="20"/>
                <w:szCs w:val="20"/>
                <w:color w:val="auto"/>
              </w:rPr>
            </w:pPr>
            <w:r>
              <w:rPr>
                <w:rFonts w:ascii="Arial" w:cs="Arial" w:eastAsia="Arial" w:hAnsi="Arial"/>
                <w:sz w:val="18"/>
                <w:szCs w:val="18"/>
                <w:color w:val="auto"/>
              </w:rPr>
              <w:t>Payments</w:t>
            </w:r>
          </w:p>
        </w:tc>
        <w:tc>
          <w:tcPr>
            <w:tcW w:w="1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8.2</w:t>
            </w:r>
          </w:p>
        </w:tc>
        <w:tc>
          <w:tcPr>
            <w:tcW w:w="8580" w:type="dxa"/>
            <w:vAlign w:val="bottom"/>
          </w:tcPr>
          <w:p>
            <w:pPr>
              <w:ind w:left="220"/>
              <w:spacing w:after="0"/>
              <w:rPr>
                <w:sz w:val="20"/>
                <w:szCs w:val="20"/>
                <w:color w:val="auto"/>
              </w:rPr>
            </w:pPr>
            <w:r>
              <w:rPr>
                <w:rFonts w:ascii="Arial" w:cs="Arial" w:eastAsia="Arial" w:hAnsi="Arial"/>
                <w:sz w:val="18"/>
                <w:szCs w:val="18"/>
                <w:color w:val="auto"/>
              </w:rPr>
              <w:t>Covenants</w:t>
            </w:r>
          </w:p>
        </w:tc>
        <w:tc>
          <w:tcPr>
            <w:tcW w:w="1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8.3</w:t>
            </w:r>
          </w:p>
        </w:tc>
        <w:tc>
          <w:tcPr>
            <w:tcW w:w="8580" w:type="dxa"/>
            <w:vAlign w:val="bottom"/>
          </w:tcPr>
          <w:p>
            <w:pPr>
              <w:ind w:left="220"/>
              <w:spacing w:after="0"/>
              <w:rPr>
                <w:sz w:val="20"/>
                <w:szCs w:val="20"/>
                <w:color w:val="auto"/>
              </w:rPr>
            </w:pPr>
            <w:r>
              <w:rPr>
                <w:rFonts w:ascii="Arial" w:cs="Arial" w:eastAsia="Arial" w:hAnsi="Arial"/>
                <w:sz w:val="18"/>
                <w:szCs w:val="18"/>
                <w:color w:val="auto"/>
              </w:rPr>
              <w:t>Judgments</w:t>
            </w:r>
          </w:p>
        </w:tc>
        <w:tc>
          <w:tcPr>
            <w:tcW w:w="1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8.4</w:t>
            </w:r>
          </w:p>
        </w:tc>
        <w:tc>
          <w:tcPr>
            <w:tcW w:w="8580" w:type="dxa"/>
            <w:vAlign w:val="bottom"/>
          </w:tcPr>
          <w:p>
            <w:pPr>
              <w:ind w:left="220"/>
              <w:spacing w:after="0"/>
              <w:rPr>
                <w:sz w:val="20"/>
                <w:szCs w:val="20"/>
                <w:color w:val="auto"/>
              </w:rPr>
            </w:pPr>
            <w:r>
              <w:rPr>
                <w:rFonts w:ascii="Arial" w:cs="Arial" w:eastAsia="Arial" w:hAnsi="Arial"/>
                <w:sz w:val="18"/>
                <w:szCs w:val="18"/>
                <w:color w:val="auto"/>
              </w:rPr>
              <w:t>Voluntary Bankruptcy, etc.</w:t>
            </w:r>
          </w:p>
        </w:tc>
        <w:tc>
          <w:tcPr>
            <w:tcW w:w="1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8.5</w:t>
            </w:r>
          </w:p>
        </w:tc>
        <w:tc>
          <w:tcPr>
            <w:tcW w:w="8580" w:type="dxa"/>
            <w:vAlign w:val="bottom"/>
          </w:tcPr>
          <w:p>
            <w:pPr>
              <w:ind w:left="220"/>
              <w:spacing w:after="0"/>
              <w:rPr>
                <w:sz w:val="20"/>
                <w:szCs w:val="20"/>
                <w:color w:val="auto"/>
              </w:rPr>
            </w:pPr>
            <w:r>
              <w:rPr>
                <w:rFonts w:ascii="Arial" w:cs="Arial" w:eastAsia="Arial" w:hAnsi="Arial"/>
                <w:sz w:val="18"/>
                <w:szCs w:val="18"/>
                <w:color w:val="auto"/>
              </w:rPr>
              <w:t>Involuntary Bankruptcy, etc.</w:t>
            </w:r>
          </w:p>
        </w:tc>
        <w:tc>
          <w:tcPr>
            <w:tcW w:w="1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8.6</w:t>
            </w:r>
          </w:p>
        </w:tc>
        <w:tc>
          <w:tcPr>
            <w:tcW w:w="8580" w:type="dxa"/>
            <w:vAlign w:val="bottom"/>
          </w:tcPr>
          <w:p>
            <w:pPr>
              <w:ind w:left="220"/>
              <w:spacing w:after="0"/>
              <w:rPr>
                <w:sz w:val="20"/>
                <w:szCs w:val="20"/>
                <w:color w:val="auto"/>
              </w:rPr>
            </w:pPr>
            <w:r>
              <w:rPr>
                <w:rFonts w:ascii="Arial" w:cs="Arial" w:eastAsia="Arial" w:hAnsi="Arial"/>
                <w:sz w:val="18"/>
                <w:szCs w:val="18"/>
                <w:color w:val="auto"/>
              </w:rPr>
              <w:t>Default Under Other Agreements</w:t>
            </w:r>
          </w:p>
        </w:tc>
        <w:tc>
          <w:tcPr>
            <w:tcW w:w="1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8.7</w:t>
            </w:r>
          </w:p>
        </w:tc>
        <w:tc>
          <w:tcPr>
            <w:tcW w:w="8580" w:type="dxa"/>
            <w:vAlign w:val="bottom"/>
          </w:tcPr>
          <w:p>
            <w:pPr>
              <w:ind w:left="220"/>
              <w:spacing w:after="0"/>
              <w:rPr>
                <w:sz w:val="20"/>
                <w:szCs w:val="20"/>
                <w:color w:val="auto"/>
              </w:rPr>
            </w:pPr>
            <w:r>
              <w:rPr>
                <w:rFonts w:ascii="Arial" w:cs="Arial" w:eastAsia="Arial" w:hAnsi="Arial"/>
                <w:sz w:val="18"/>
                <w:szCs w:val="18"/>
                <w:color w:val="auto"/>
              </w:rPr>
              <w:t>Representations, etc.</w:t>
            </w:r>
          </w:p>
        </w:tc>
        <w:tc>
          <w:tcPr>
            <w:tcW w:w="19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8.8</w:t>
            </w:r>
          </w:p>
        </w:tc>
        <w:tc>
          <w:tcPr>
            <w:tcW w:w="8580" w:type="dxa"/>
            <w:vAlign w:val="bottom"/>
          </w:tcPr>
          <w:p>
            <w:pPr>
              <w:ind w:left="220"/>
              <w:spacing w:after="0"/>
              <w:rPr>
                <w:sz w:val="20"/>
                <w:szCs w:val="20"/>
                <w:color w:val="auto"/>
              </w:rPr>
            </w:pPr>
            <w:r>
              <w:rPr>
                <w:rFonts w:ascii="Arial" w:cs="Arial" w:eastAsia="Arial" w:hAnsi="Arial"/>
                <w:sz w:val="18"/>
                <w:szCs w:val="18"/>
                <w:color w:val="auto"/>
              </w:rPr>
              <w:t>Guaranty</w:t>
            </w:r>
          </w:p>
        </w:tc>
        <w:tc>
          <w:tcPr>
            <w:tcW w:w="19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8.9</w:t>
            </w:r>
          </w:p>
        </w:tc>
        <w:tc>
          <w:tcPr>
            <w:tcW w:w="8580" w:type="dxa"/>
            <w:vAlign w:val="bottom"/>
          </w:tcPr>
          <w:p>
            <w:pPr>
              <w:ind w:left="220"/>
              <w:spacing w:after="0"/>
              <w:rPr>
                <w:sz w:val="20"/>
                <w:szCs w:val="20"/>
                <w:color w:val="auto"/>
              </w:rPr>
            </w:pPr>
            <w:r>
              <w:rPr>
                <w:rFonts w:ascii="Arial" w:cs="Arial" w:eastAsia="Arial" w:hAnsi="Arial"/>
                <w:sz w:val="18"/>
                <w:szCs w:val="18"/>
                <w:color w:val="auto"/>
              </w:rPr>
              <w:t>Security Documents</w:t>
            </w:r>
          </w:p>
        </w:tc>
        <w:tc>
          <w:tcPr>
            <w:tcW w:w="19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8.10</w:t>
            </w:r>
          </w:p>
        </w:tc>
        <w:tc>
          <w:tcPr>
            <w:tcW w:w="8580" w:type="dxa"/>
            <w:vAlign w:val="bottom"/>
          </w:tcPr>
          <w:p>
            <w:pPr>
              <w:ind w:left="220"/>
              <w:spacing w:after="0"/>
              <w:rPr>
                <w:sz w:val="20"/>
                <w:szCs w:val="20"/>
                <w:color w:val="auto"/>
              </w:rPr>
            </w:pPr>
            <w:r>
              <w:rPr>
                <w:rFonts w:ascii="Arial" w:cs="Arial" w:eastAsia="Arial" w:hAnsi="Arial"/>
                <w:sz w:val="18"/>
                <w:szCs w:val="18"/>
                <w:color w:val="auto"/>
              </w:rPr>
              <w:t>Loan Documents</w:t>
            </w:r>
          </w:p>
        </w:tc>
        <w:tc>
          <w:tcPr>
            <w:tcW w:w="19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8.11</w:t>
            </w:r>
          </w:p>
        </w:tc>
        <w:tc>
          <w:tcPr>
            <w:tcW w:w="8580" w:type="dxa"/>
            <w:vAlign w:val="bottom"/>
          </w:tcPr>
          <w:p>
            <w:pPr>
              <w:ind w:left="220"/>
              <w:spacing w:after="0"/>
              <w:rPr>
                <w:sz w:val="20"/>
                <w:szCs w:val="20"/>
                <w:color w:val="auto"/>
              </w:rPr>
            </w:pPr>
            <w:r>
              <w:rPr>
                <w:rFonts w:ascii="Arial" w:cs="Arial" w:eastAsia="Arial" w:hAnsi="Arial"/>
                <w:sz w:val="18"/>
                <w:szCs w:val="18"/>
                <w:color w:val="auto"/>
              </w:rPr>
              <w:t>Change of Control</w:t>
            </w:r>
          </w:p>
        </w:tc>
        <w:tc>
          <w:tcPr>
            <w:tcW w:w="19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8.12</w:t>
            </w:r>
          </w:p>
        </w:tc>
        <w:tc>
          <w:tcPr>
            <w:tcW w:w="8580" w:type="dxa"/>
            <w:vAlign w:val="bottom"/>
          </w:tcPr>
          <w:p>
            <w:pPr>
              <w:ind w:left="220"/>
              <w:spacing w:after="0"/>
              <w:rPr>
                <w:sz w:val="20"/>
                <w:szCs w:val="20"/>
                <w:color w:val="auto"/>
              </w:rPr>
            </w:pPr>
            <w:r>
              <w:rPr>
                <w:rFonts w:ascii="Arial" w:cs="Arial" w:eastAsia="Arial" w:hAnsi="Arial"/>
                <w:sz w:val="18"/>
                <w:szCs w:val="18"/>
                <w:color w:val="auto"/>
              </w:rPr>
              <w:t>ERISA</w:t>
            </w:r>
          </w:p>
        </w:tc>
        <w:tc>
          <w:tcPr>
            <w:tcW w:w="19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9.</w:t>
            </w:r>
          </w:p>
        </w:tc>
        <w:tc>
          <w:tcPr>
            <w:tcW w:w="8580" w:type="dxa"/>
            <w:vAlign w:val="bottom"/>
          </w:tcPr>
          <w:p>
            <w:pPr>
              <w:ind w:left="220"/>
              <w:spacing w:after="0"/>
              <w:rPr>
                <w:sz w:val="20"/>
                <w:szCs w:val="20"/>
                <w:color w:val="auto"/>
              </w:rPr>
            </w:pPr>
            <w:r>
              <w:rPr>
                <w:rFonts w:ascii="Arial" w:cs="Arial" w:eastAsia="Arial" w:hAnsi="Arial"/>
                <w:sz w:val="18"/>
                <w:szCs w:val="18"/>
                <w:color w:val="auto"/>
              </w:rPr>
              <w:t>RIGHTS AND REMEDIES</w:t>
            </w:r>
          </w:p>
        </w:tc>
        <w:tc>
          <w:tcPr>
            <w:tcW w:w="19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9.1</w:t>
            </w:r>
          </w:p>
        </w:tc>
        <w:tc>
          <w:tcPr>
            <w:tcW w:w="8580" w:type="dxa"/>
            <w:vAlign w:val="bottom"/>
          </w:tcPr>
          <w:p>
            <w:pPr>
              <w:ind w:left="220"/>
              <w:spacing w:after="0"/>
              <w:rPr>
                <w:sz w:val="20"/>
                <w:szCs w:val="20"/>
                <w:color w:val="auto"/>
              </w:rPr>
            </w:pPr>
            <w:r>
              <w:rPr>
                <w:rFonts w:ascii="Arial" w:cs="Arial" w:eastAsia="Arial" w:hAnsi="Arial"/>
                <w:sz w:val="18"/>
                <w:szCs w:val="18"/>
                <w:color w:val="auto"/>
              </w:rPr>
              <w:t>Rights and Remedies</w:t>
            </w:r>
          </w:p>
        </w:tc>
        <w:tc>
          <w:tcPr>
            <w:tcW w:w="19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9.2</w:t>
            </w:r>
          </w:p>
        </w:tc>
        <w:tc>
          <w:tcPr>
            <w:tcW w:w="8580" w:type="dxa"/>
            <w:vAlign w:val="bottom"/>
          </w:tcPr>
          <w:p>
            <w:pPr>
              <w:ind w:left="220"/>
              <w:spacing w:after="0"/>
              <w:rPr>
                <w:sz w:val="20"/>
                <w:szCs w:val="20"/>
                <w:color w:val="auto"/>
              </w:rPr>
            </w:pPr>
            <w:r>
              <w:rPr>
                <w:rFonts w:ascii="Arial" w:cs="Arial" w:eastAsia="Arial" w:hAnsi="Arial"/>
                <w:sz w:val="18"/>
                <w:szCs w:val="18"/>
                <w:color w:val="auto"/>
              </w:rPr>
              <w:t>Remedies Cumulative</w:t>
            </w: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9.3</w:t>
            </w:r>
          </w:p>
        </w:tc>
        <w:tc>
          <w:tcPr>
            <w:tcW w:w="8580" w:type="dxa"/>
            <w:vAlign w:val="bottom"/>
          </w:tcPr>
          <w:p>
            <w:pPr>
              <w:ind w:left="220"/>
              <w:spacing w:after="0"/>
              <w:rPr>
                <w:sz w:val="20"/>
                <w:szCs w:val="20"/>
                <w:color w:val="auto"/>
              </w:rPr>
            </w:pPr>
            <w:r>
              <w:rPr>
                <w:rFonts w:ascii="Arial" w:cs="Arial" w:eastAsia="Arial" w:hAnsi="Arial"/>
                <w:sz w:val="18"/>
                <w:szCs w:val="18"/>
                <w:color w:val="auto"/>
              </w:rPr>
              <w:t>Curative Equity</w:t>
            </w: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w:t>
            </w:r>
          </w:p>
        </w:tc>
        <w:tc>
          <w:tcPr>
            <w:tcW w:w="8580" w:type="dxa"/>
            <w:vAlign w:val="bottom"/>
          </w:tcPr>
          <w:p>
            <w:pPr>
              <w:ind w:left="220"/>
              <w:spacing w:after="0"/>
              <w:rPr>
                <w:sz w:val="20"/>
                <w:szCs w:val="20"/>
                <w:color w:val="auto"/>
              </w:rPr>
            </w:pPr>
            <w:r>
              <w:rPr>
                <w:rFonts w:ascii="Arial" w:cs="Arial" w:eastAsia="Arial" w:hAnsi="Arial"/>
                <w:sz w:val="18"/>
                <w:szCs w:val="18"/>
                <w:color w:val="auto"/>
              </w:rPr>
              <w:t>WAIVERS; INDEMNIFICATION</w:t>
            </w:r>
          </w:p>
        </w:tc>
        <w:tc>
          <w:tcPr>
            <w:tcW w:w="1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10.1</w:t>
            </w:r>
          </w:p>
        </w:tc>
        <w:tc>
          <w:tcPr>
            <w:tcW w:w="8580" w:type="dxa"/>
            <w:vAlign w:val="bottom"/>
          </w:tcPr>
          <w:p>
            <w:pPr>
              <w:ind w:left="220"/>
              <w:spacing w:after="0"/>
              <w:rPr>
                <w:sz w:val="20"/>
                <w:szCs w:val="20"/>
                <w:color w:val="auto"/>
              </w:rPr>
            </w:pPr>
            <w:r>
              <w:rPr>
                <w:rFonts w:ascii="Arial" w:cs="Arial" w:eastAsia="Arial" w:hAnsi="Arial"/>
                <w:sz w:val="18"/>
                <w:szCs w:val="18"/>
                <w:color w:val="auto"/>
              </w:rPr>
              <w:t>Demand; Protest; etc.</w:t>
            </w:r>
          </w:p>
        </w:tc>
        <w:tc>
          <w:tcPr>
            <w:tcW w:w="1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10.2</w:t>
            </w:r>
          </w:p>
        </w:tc>
        <w:tc>
          <w:tcPr>
            <w:tcW w:w="8580" w:type="dxa"/>
            <w:vAlign w:val="bottom"/>
          </w:tcPr>
          <w:p>
            <w:pPr>
              <w:ind w:left="260"/>
              <w:spacing w:after="0"/>
              <w:rPr>
                <w:sz w:val="20"/>
                <w:szCs w:val="20"/>
                <w:color w:val="auto"/>
              </w:rPr>
            </w:pPr>
            <w:r>
              <w:rPr>
                <w:rFonts w:ascii="Arial" w:cs="Arial" w:eastAsia="Arial" w:hAnsi="Arial"/>
                <w:sz w:val="18"/>
                <w:szCs w:val="18"/>
                <w:color w:val="auto"/>
              </w:rPr>
              <w:t>The Lender Group’s Liability for Collateral</w:t>
            </w:r>
          </w:p>
        </w:tc>
        <w:tc>
          <w:tcPr>
            <w:tcW w:w="1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10.3</w:t>
            </w:r>
          </w:p>
        </w:tc>
        <w:tc>
          <w:tcPr>
            <w:tcW w:w="8580" w:type="dxa"/>
            <w:vAlign w:val="bottom"/>
          </w:tcPr>
          <w:p>
            <w:pPr>
              <w:ind w:left="220"/>
              <w:spacing w:after="0"/>
              <w:rPr>
                <w:sz w:val="20"/>
                <w:szCs w:val="20"/>
                <w:color w:val="auto"/>
              </w:rPr>
            </w:pPr>
            <w:r>
              <w:rPr>
                <w:rFonts w:ascii="Arial" w:cs="Arial" w:eastAsia="Arial" w:hAnsi="Arial"/>
                <w:sz w:val="18"/>
                <w:szCs w:val="18"/>
                <w:color w:val="auto"/>
              </w:rPr>
              <w:t>Indemnification</w:t>
            </w:r>
          </w:p>
        </w:tc>
        <w:tc>
          <w:tcPr>
            <w:tcW w:w="1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11.</w:t>
            </w:r>
          </w:p>
        </w:tc>
        <w:tc>
          <w:tcPr>
            <w:tcW w:w="8580" w:type="dxa"/>
            <w:vAlign w:val="bottom"/>
          </w:tcPr>
          <w:p>
            <w:pPr>
              <w:ind w:left="220"/>
              <w:spacing w:after="0"/>
              <w:rPr>
                <w:sz w:val="20"/>
                <w:szCs w:val="20"/>
                <w:color w:val="auto"/>
              </w:rPr>
            </w:pPr>
            <w:r>
              <w:rPr>
                <w:rFonts w:ascii="Arial" w:cs="Arial" w:eastAsia="Arial" w:hAnsi="Arial"/>
                <w:sz w:val="18"/>
                <w:szCs w:val="18"/>
                <w:color w:val="auto"/>
              </w:rPr>
              <w:t>NOTICES.</w:t>
            </w:r>
          </w:p>
        </w:tc>
        <w:tc>
          <w:tcPr>
            <w:tcW w:w="19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12.</w:t>
            </w:r>
          </w:p>
        </w:tc>
        <w:tc>
          <w:tcPr>
            <w:tcW w:w="8580" w:type="dxa"/>
            <w:vAlign w:val="bottom"/>
          </w:tcPr>
          <w:p>
            <w:pPr>
              <w:ind w:left="220"/>
              <w:spacing w:after="0"/>
              <w:rPr>
                <w:sz w:val="20"/>
                <w:szCs w:val="20"/>
                <w:color w:val="auto"/>
              </w:rPr>
            </w:pPr>
            <w:r>
              <w:rPr>
                <w:rFonts w:ascii="Arial" w:cs="Arial" w:eastAsia="Arial" w:hAnsi="Arial"/>
                <w:sz w:val="18"/>
                <w:szCs w:val="18"/>
                <w:color w:val="auto"/>
              </w:rPr>
              <w:t>CHOICE OF LAW AND VENUE; JURY TRIAL WAIVER; JUDICIAL REFERENCE PROVISION</w:t>
            </w:r>
          </w:p>
        </w:tc>
        <w:tc>
          <w:tcPr>
            <w:tcW w:w="19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13.</w:t>
            </w:r>
          </w:p>
        </w:tc>
        <w:tc>
          <w:tcPr>
            <w:tcW w:w="8580" w:type="dxa"/>
            <w:vAlign w:val="bottom"/>
          </w:tcPr>
          <w:p>
            <w:pPr>
              <w:ind w:left="220"/>
              <w:spacing w:after="0"/>
              <w:rPr>
                <w:sz w:val="20"/>
                <w:szCs w:val="20"/>
                <w:color w:val="auto"/>
              </w:rPr>
            </w:pPr>
            <w:r>
              <w:rPr>
                <w:rFonts w:ascii="Arial" w:cs="Arial" w:eastAsia="Arial" w:hAnsi="Arial"/>
                <w:sz w:val="18"/>
                <w:szCs w:val="18"/>
                <w:color w:val="auto"/>
              </w:rPr>
              <w:t>ASSIGNMENTS AND PARTICIPATIONS; SUCCESSORS</w:t>
            </w:r>
          </w:p>
        </w:tc>
        <w:tc>
          <w:tcPr>
            <w:tcW w:w="19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13.1</w:t>
            </w:r>
          </w:p>
        </w:tc>
        <w:tc>
          <w:tcPr>
            <w:tcW w:w="8580" w:type="dxa"/>
            <w:vAlign w:val="bottom"/>
          </w:tcPr>
          <w:p>
            <w:pPr>
              <w:ind w:left="220"/>
              <w:spacing w:after="0"/>
              <w:rPr>
                <w:sz w:val="20"/>
                <w:szCs w:val="20"/>
                <w:color w:val="auto"/>
              </w:rPr>
            </w:pPr>
            <w:r>
              <w:rPr>
                <w:rFonts w:ascii="Arial" w:cs="Arial" w:eastAsia="Arial" w:hAnsi="Arial"/>
                <w:sz w:val="18"/>
                <w:szCs w:val="18"/>
                <w:color w:val="auto"/>
              </w:rPr>
              <w:t>Assignments and Participations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13.2</w:t>
            </w:r>
          </w:p>
        </w:tc>
        <w:tc>
          <w:tcPr>
            <w:tcW w:w="8580" w:type="dxa"/>
            <w:vAlign w:val="bottom"/>
          </w:tcPr>
          <w:p>
            <w:pPr>
              <w:ind w:left="220"/>
              <w:spacing w:after="0"/>
              <w:rPr>
                <w:sz w:val="20"/>
                <w:szCs w:val="20"/>
                <w:color w:val="auto"/>
              </w:rPr>
            </w:pPr>
            <w:r>
              <w:rPr>
                <w:rFonts w:ascii="Arial" w:cs="Arial" w:eastAsia="Arial" w:hAnsi="Arial"/>
                <w:sz w:val="18"/>
                <w:szCs w:val="18"/>
                <w:color w:val="auto"/>
              </w:rPr>
              <w:t>Successors</w:t>
            </w:r>
          </w:p>
        </w:tc>
        <w:tc>
          <w:tcPr>
            <w:tcW w:w="19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14.</w:t>
            </w:r>
          </w:p>
        </w:tc>
        <w:tc>
          <w:tcPr>
            <w:tcW w:w="8580" w:type="dxa"/>
            <w:vAlign w:val="bottom"/>
          </w:tcPr>
          <w:p>
            <w:pPr>
              <w:ind w:left="220"/>
              <w:spacing w:after="0"/>
              <w:rPr>
                <w:sz w:val="20"/>
                <w:szCs w:val="20"/>
                <w:color w:val="auto"/>
              </w:rPr>
            </w:pPr>
            <w:r>
              <w:rPr>
                <w:rFonts w:ascii="Arial" w:cs="Arial" w:eastAsia="Arial" w:hAnsi="Arial"/>
                <w:sz w:val="18"/>
                <w:szCs w:val="18"/>
                <w:color w:val="auto"/>
              </w:rPr>
              <w:t>AMENDMENTS; WAIVERS</w:t>
            </w:r>
          </w:p>
        </w:tc>
        <w:tc>
          <w:tcPr>
            <w:tcW w:w="19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14.1</w:t>
            </w:r>
          </w:p>
        </w:tc>
        <w:tc>
          <w:tcPr>
            <w:tcW w:w="8580" w:type="dxa"/>
            <w:vAlign w:val="bottom"/>
          </w:tcPr>
          <w:p>
            <w:pPr>
              <w:ind w:left="220"/>
              <w:spacing w:after="0"/>
              <w:rPr>
                <w:sz w:val="20"/>
                <w:szCs w:val="20"/>
                <w:color w:val="auto"/>
              </w:rPr>
            </w:pPr>
            <w:r>
              <w:rPr>
                <w:rFonts w:ascii="Arial" w:cs="Arial" w:eastAsia="Arial" w:hAnsi="Arial"/>
                <w:sz w:val="18"/>
                <w:szCs w:val="18"/>
                <w:color w:val="auto"/>
              </w:rPr>
              <w:t>Amendments and Waivers</w:t>
            </w:r>
          </w:p>
        </w:tc>
        <w:tc>
          <w:tcPr>
            <w:tcW w:w="19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14.2</w:t>
            </w:r>
          </w:p>
        </w:tc>
        <w:tc>
          <w:tcPr>
            <w:tcW w:w="8580" w:type="dxa"/>
            <w:vAlign w:val="bottom"/>
          </w:tcPr>
          <w:p>
            <w:pPr>
              <w:ind w:left="220"/>
              <w:spacing w:after="0"/>
              <w:rPr>
                <w:sz w:val="20"/>
                <w:szCs w:val="20"/>
                <w:color w:val="auto"/>
              </w:rPr>
            </w:pPr>
            <w:r>
              <w:rPr>
                <w:rFonts w:ascii="Arial" w:cs="Arial" w:eastAsia="Arial" w:hAnsi="Arial"/>
                <w:sz w:val="18"/>
                <w:szCs w:val="18"/>
                <w:color w:val="auto"/>
              </w:rPr>
              <w:t>Replacement of Certain Lenders</w:t>
            </w:r>
          </w:p>
        </w:tc>
        <w:tc>
          <w:tcPr>
            <w:tcW w:w="19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14.3</w:t>
            </w:r>
          </w:p>
        </w:tc>
        <w:tc>
          <w:tcPr>
            <w:tcW w:w="8580" w:type="dxa"/>
            <w:vAlign w:val="bottom"/>
          </w:tcPr>
          <w:p>
            <w:pPr>
              <w:ind w:left="220"/>
              <w:spacing w:after="0"/>
              <w:rPr>
                <w:sz w:val="20"/>
                <w:szCs w:val="20"/>
                <w:color w:val="auto"/>
              </w:rPr>
            </w:pPr>
            <w:r>
              <w:rPr>
                <w:rFonts w:ascii="Arial" w:cs="Arial" w:eastAsia="Arial" w:hAnsi="Arial"/>
                <w:sz w:val="18"/>
                <w:szCs w:val="18"/>
                <w:color w:val="auto"/>
              </w:rPr>
              <w:t>No Waivers; Cumulative Remedies</w:t>
            </w:r>
          </w:p>
        </w:tc>
        <w:tc>
          <w:tcPr>
            <w:tcW w:w="1960" w:type="dxa"/>
            <w:vAlign w:val="bottom"/>
          </w:tcPr>
          <w:p>
            <w:pPr>
              <w:jc w:val="right"/>
              <w:spacing w:after="0"/>
              <w:rPr>
                <w:sz w:val="20"/>
                <w:szCs w:val="20"/>
                <w:color w:val="auto"/>
              </w:rPr>
            </w:pPr>
            <w:r>
              <w:rPr>
                <w:rFonts w:ascii="Arial" w:cs="Arial" w:eastAsia="Arial" w:hAnsi="Arial"/>
                <w:sz w:val="18"/>
                <w:szCs w:val="18"/>
                <w:color w:val="auto"/>
              </w:rPr>
              <w:t>113</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53"/>
        </w:trPr>
        <w:tc>
          <w:tcPr>
            <w:tcW w:w="740" w:type="dxa"/>
            <w:vAlign w:val="bottom"/>
          </w:tcPr>
          <w:p>
            <w:pPr>
              <w:spacing w:after="0"/>
              <w:rPr>
                <w:sz w:val="21"/>
                <w:szCs w:val="21"/>
                <w:color w:val="auto"/>
              </w:rPr>
            </w:pPr>
          </w:p>
        </w:tc>
        <w:tc>
          <w:tcPr>
            <w:tcW w:w="8520" w:type="dxa"/>
            <w:vAlign w:val="bottom"/>
          </w:tcPr>
          <w:p>
            <w:pPr>
              <w:ind w:left="3720"/>
              <w:spacing w:after="0"/>
              <w:rPr>
                <w:sz w:val="20"/>
                <w:szCs w:val="20"/>
                <w:color w:val="auto"/>
              </w:rPr>
            </w:pPr>
            <w:r>
              <w:rPr>
                <w:rFonts w:ascii="Arial" w:cs="Arial" w:eastAsia="Arial" w:hAnsi="Arial"/>
                <w:sz w:val="22"/>
                <w:szCs w:val="22"/>
                <w:b w:val="1"/>
                <w:bCs w:val="1"/>
                <w:color w:val="auto"/>
              </w:rPr>
              <w:t>TABLE OF CONTENTS</w:t>
            </w:r>
          </w:p>
        </w:tc>
        <w:tc>
          <w:tcPr>
            <w:tcW w:w="1980" w:type="dxa"/>
            <w:vAlign w:val="bottom"/>
          </w:tcPr>
          <w:p>
            <w:pPr>
              <w:spacing w:after="0"/>
              <w:rPr>
                <w:sz w:val="21"/>
                <w:szCs w:val="21"/>
                <w:color w:val="auto"/>
              </w:rPr>
            </w:pPr>
          </w:p>
        </w:tc>
      </w:tr>
      <w:tr>
        <w:trPr>
          <w:trHeight w:val="274"/>
        </w:trPr>
        <w:tc>
          <w:tcPr>
            <w:tcW w:w="740" w:type="dxa"/>
            <w:vAlign w:val="bottom"/>
          </w:tcPr>
          <w:p>
            <w:pPr>
              <w:spacing w:after="0"/>
              <w:rPr>
                <w:sz w:val="23"/>
                <w:szCs w:val="23"/>
                <w:color w:val="auto"/>
              </w:rPr>
            </w:pPr>
          </w:p>
        </w:tc>
        <w:tc>
          <w:tcPr>
            <w:tcW w:w="8520" w:type="dxa"/>
            <w:vAlign w:val="bottom"/>
          </w:tcPr>
          <w:p>
            <w:pPr>
              <w:ind w:left="4380"/>
              <w:spacing w:after="0"/>
              <w:rPr>
                <w:sz w:val="20"/>
                <w:szCs w:val="20"/>
                <w:color w:val="auto"/>
              </w:rPr>
            </w:pPr>
            <w:r>
              <w:rPr>
                <w:rFonts w:ascii="Arial" w:cs="Arial" w:eastAsia="Arial" w:hAnsi="Arial"/>
                <w:sz w:val="22"/>
                <w:szCs w:val="22"/>
                <w:color w:val="auto"/>
              </w:rPr>
              <w:t>(continued)</w:t>
            </w:r>
          </w:p>
        </w:tc>
        <w:tc>
          <w:tcPr>
            <w:tcW w:w="1980" w:type="dxa"/>
            <w:vAlign w:val="bottom"/>
          </w:tcPr>
          <w:p>
            <w:pPr>
              <w:spacing w:after="0"/>
              <w:rPr>
                <w:sz w:val="23"/>
                <w:szCs w:val="23"/>
                <w:color w:val="auto"/>
              </w:rPr>
            </w:pPr>
          </w:p>
        </w:tc>
      </w:tr>
      <w:tr>
        <w:trPr>
          <w:trHeight w:val="435"/>
        </w:trPr>
        <w:tc>
          <w:tcPr>
            <w:tcW w:w="7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980" w:type="dxa"/>
            <w:vAlign w:val="bottom"/>
          </w:tcPr>
          <w:p>
            <w:pPr>
              <w:jc w:val="right"/>
              <w:ind w:right="430"/>
              <w:spacing w:after="0"/>
              <w:rPr>
                <w:sz w:val="20"/>
                <w:szCs w:val="20"/>
                <w:color w:val="auto"/>
              </w:rPr>
            </w:pPr>
            <w:r>
              <w:rPr>
                <w:rFonts w:ascii="Arial" w:cs="Arial" w:eastAsia="Arial" w:hAnsi="Arial"/>
                <w:sz w:val="18"/>
                <w:szCs w:val="18"/>
                <w:b w:val="1"/>
                <w:bCs w:val="1"/>
                <w:color w:val="auto"/>
              </w:rPr>
              <w:t>Page</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15.</w:t>
            </w:r>
          </w:p>
        </w:tc>
        <w:tc>
          <w:tcPr>
            <w:tcW w:w="8520" w:type="dxa"/>
            <w:vAlign w:val="bottom"/>
          </w:tcPr>
          <w:p>
            <w:pPr>
              <w:ind w:left="180"/>
              <w:spacing w:after="0"/>
              <w:rPr>
                <w:sz w:val="20"/>
                <w:szCs w:val="20"/>
                <w:color w:val="auto"/>
              </w:rPr>
            </w:pPr>
            <w:r>
              <w:rPr>
                <w:rFonts w:ascii="Arial" w:cs="Arial" w:eastAsia="Arial" w:hAnsi="Arial"/>
                <w:sz w:val="18"/>
                <w:szCs w:val="18"/>
                <w:color w:val="auto"/>
              </w:rPr>
              <w:t>AGENT; THE LENDER GROUP</w:t>
            </w:r>
          </w:p>
        </w:tc>
        <w:tc>
          <w:tcPr>
            <w:tcW w:w="19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15.1</w:t>
            </w:r>
          </w:p>
        </w:tc>
        <w:tc>
          <w:tcPr>
            <w:tcW w:w="8520" w:type="dxa"/>
            <w:vAlign w:val="bottom"/>
          </w:tcPr>
          <w:p>
            <w:pPr>
              <w:ind w:left="180"/>
              <w:spacing w:after="0"/>
              <w:rPr>
                <w:sz w:val="20"/>
                <w:szCs w:val="20"/>
                <w:color w:val="auto"/>
              </w:rPr>
            </w:pPr>
            <w:r>
              <w:rPr>
                <w:rFonts w:ascii="Arial" w:cs="Arial" w:eastAsia="Arial" w:hAnsi="Arial"/>
                <w:sz w:val="18"/>
                <w:szCs w:val="18"/>
                <w:color w:val="auto"/>
              </w:rPr>
              <w:t>Appointment and Authorization of Agent</w:t>
            </w:r>
          </w:p>
        </w:tc>
        <w:tc>
          <w:tcPr>
            <w:tcW w:w="19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15.2</w:t>
            </w:r>
          </w:p>
        </w:tc>
        <w:tc>
          <w:tcPr>
            <w:tcW w:w="8520" w:type="dxa"/>
            <w:vAlign w:val="bottom"/>
          </w:tcPr>
          <w:p>
            <w:pPr>
              <w:ind w:left="180"/>
              <w:spacing w:after="0"/>
              <w:rPr>
                <w:sz w:val="20"/>
                <w:szCs w:val="20"/>
                <w:color w:val="auto"/>
              </w:rPr>
            </w:pPr>
            <w:r>
              <w:rPr>
                <w:rFonts w:ascii="Arial" w:cs="Arial" w:eastAsia="Arial" w:hAnsi="Arial"/>
                <w:sz w:val="18"/>
                <w:szCs w:val="18"/>
                <w:color w:val="auto"/>
              </w:rPr>
              <w:t>Delegation of Duties</w:t>
            </w:r>
          </w:p>
        </w:tc>
        <w:tc>
          <w:tcPr>
            <w:tcW w:w="19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15.3</w:t>
            </w:r>
          </w:p>
        </w:tc>
        <w:tc>
          <w:tcPr>
            <w:tcW w:w="8520" w:type="dxa"/>
            <w:vAlign w:val="bottom"/>
          </w:tcPr>
          <w:p>
            <w:pPr>
              <w:ind w:left="180"/>
              <w:spacing w:after="0"/>
              <w:rPr>
                <w:sz w:val="20"/>
                <w:szCs w:val="20"/>
                <w:color w:val="auto"/>
              </w:rPr>
            </w:pPr>
            <w:r>
              <w:rPr>
                <w:rFonts w:ascii="Arial" w:cs="Arial" w:eastAsia="Arial" w:hAnsi="Arial"/>
                <w:sz w:val="18"/>
                <w:szCs w:val="18"/>
                <w:color w:val="auto"/>
              </w:rPr>
              <w:t>Liability of Agent</w:t>
            </w:r>
          </w:p>
        </w:tc>
        <w:tc>
          <w:tcPr>
            <w:tcW w:w="19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15.4</w:t>
            </w:r>
          </w:p>
        </w:tc>
        <w:tc>
          <w:tcPr>
            <w:tcW w:w="8520" w:type="dxa"/>
            <w:vAlign w:val="bottom"/>
          </w:tcPr>
          <w:p>
            <w:pPr>
              <w:ind w:left="180"/>
              <w:spacing w:after="0"/>
              <w:rPr>
                <w:sz w:val="20"/>
                <w:szCs w:val="20"/>
                <w:color w:val="auto"/>
              </w:rPr>
            </w:pPr>
            <w:r>
              <w:rPr>
                <w:rFonts w:ascii="Arial" w:cs="Arial" w:eastAsia="Arial" w:hAnsi="Arial"/>
                <w:sz w:val="18"/>
                <w:szCs w:val="18"/>
                <w:color w:val="auto"/>
              </w:rPr>
              <w:t>Reliance by Agent</w:t>
            </w:r>
          </w:p>
        </w:tc>
        <w:tc>
          <w:tcPr>
            <w:tcW w:w="19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15.5</w:t>
            </w:r>
          </w:p>
        </w:tc>
        <w:tc>
          <w:tcPr>
            <w:tcW w:w="8520" w:type="dxa"/>
            <w:vAlign w:val="bottom"/>
          </w:tcPr>
          <w:p>
            <w:pPr>
              <w:ind w:left="180"/>
              <w:spacing w:after="0"/>
              <w:rPr>
                <w:sz w:val="20"/>
                <w:szCs w:val="20"/>
                <w:color w:val="auto"/>
              </w:rPr>
            </w:pPr>
            <w:r>
              <w:rPr>
                <w:rFonts w:ascii="Arial" w:cs="Arial" w:eastAsia="Arial" w:hAnsi="Arial"/>
                <w:sz w:val="18"/>
                <w:szCs w:val="18"/>
                <w:color w:val="auto"/>
              </w:rPr>
              <w:t>Notice of Default or Event of Default</w:t>
            </w:r>
          </w:p>
        </w:tc>
        <w:tc>
          <w:tcPr>
            <w:tcW w:w="19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15.6</w:t>
            </w:r>
          </w:p>
        </w:tc>
        <w:tc>
          <w:tcPr>
            <w:tcW w:w="8520" w:type="dxa"/>
            <w:vAlign w:val="bottom"/>
          </w:tcPr>
          <w:p>
            <w:pPr>
              <w:ind w:left="180"/>
              <w:spacing w:after="0"/>
              <w:rPr>
                <w:sz w:val="20"/>
                <w:szCs w:val="20"/>
                <w:color w:val="auto"/>
              </w:rPr>
            </w:pPr>
            <w:r>
              <w:rPr>
                <w:rFonts w:ascii="Arial" w:cs="Arial" w:eastAsia="Arial" w:hAnsi="Arial"/>
                <w:sz w:val="18"/>
                <w:szCs w:val="18"/>
                <w:color w:val="auto"/>
              </w:rPr>
              <w:t>Credit Decision</w:t>
            </w:r>
          </w:p>
        </w:tc>
        <w:tc>
          <w:tcPr>
            <w:tcW w:w="19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15.7</w:t>
            </w:r>
          </w:p>
        </w:tc>
        <w:tc>
          <w:tcPr>
            <w:tcW w:w="8520" w:type="dxa"/>
            <w:vAlign w:val="bottom"/>
          </w:tcPr>
          <w:p>
            <w:pPr>
              <w:ind w:left="180"/>
              <w:spacing w:after="0"/>
              <w:rPr>
                <w:sz w:val="20"/>
                <w:szCs w:val="20"/>
                <w:color w:val="auto"/>
              </w:rPr>
            </w:pPr>
            <w:r>
              <w:rPr>
                <w:rFonts w:ascii="Arial" w:cs="Arial" w:eastAsia="Arial" w:hAnsi="Arial"/>
                <w:sz w:val="18"/>
                <w:szCs w:val="18"/>
                <w:color w:val="auto"/>
              </w:rPr>
              <w:t>Costs and Expenses; Indemnification</w:t>
            </w:r>
          </w:p>
        </w:tc>
        <w:tc>
          <w:tcPr>
            <w:tcW w:w="19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15.8</w:t>
            </w:r>
          </w:p>
        </w:tc>
        <w:tc>
          <w:tcPr>
            <w:tcW w:w="8520" w:type="dxa"/>
            <w:vAlign w:val="bottom"/>
          </w:tcPr>
          <w:p>
            <w:pPr>
              <w:ind w:left="180"/>
              <w:spacing w:after="0"/>
              <w:rPr>
                <w:sz w:val="20"/>
                <w:szCs w:val="20"/>
                <w:color w:val="auto"/>
              </w:rPr>
            </w:pPr>
            <w:r>
              <w:rPr>
                <w:rFonts w:ascii="Arial" w:cs="Arial" w:eastAsia="Arial" w:hAnsi="Arial"/>
                <w:sz w:val="18"/>
                <w:szCs w:val="18"/>
                <w:color w:val="auto"/>
              </w:rPr>
              <w:t>Agent in Individual Capacity</w:t>
            </w:r>
          </w:p>
        </w:tc>
        <w:tc>
          <w:tcPr>
            <w:tcW w:w="19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15.9</w:t>
            </w:r>
          </w:p>
        </w:tc>
        <w:tc>
          <w:tcPr>
            <w:tcW w:w="8520" w:type="dxa"/>
            <w:vAlign w:val="bottom"/>
          </w:tcPr>
          <w:p>
            <w:pPr>
              <w:ind w:left="180"/>
              <w:spacing w:after="0"/>
              <w:rPr>
                <w:sz w:val="20"/>
                <w:szCs w:val="20"/>
                <w:color w:val="auto"/>
              </w:rPr>
            </w:pPr>
            <w:r>
              <w:rPr>
                <w:rFonts w:ascii="Arial" w:cs="Arial" w:eastAsia="Arial" w:hAnsi="Arial"/>
                <w:sz w:val="18"/>
                <w:szCs w:val="18"/>
                <w:color w:val="auto"/>
              </w:rPr>
              <w:t>Successor Agent</w:t>
            </w:r>
          </w:p>
        </w:tc>
        <w:tc>
          <w:tcPr>
            <w:tcW w:w="19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15.10</w:t>
            </w:r>
          </w:p>
        </w:tc>
        <w:tc>
          <w:tcPr>
            <w:tcW w:w="8520" w:type="dxa"/>
            <w:vAlign w:val="bottom"/>
          </w:tcPr>
          <w:p>
            <w:pPr>
              <w:ind w:left="180"/>
              <w:spacing w:after="0"/>
              <w:rPr>
                <w:sz w:val="20"/>
                <w:szCs w:val="20"/>
                <w:color w:val="auto"/>
              </w:rPr>
            </w:pPr>
            <w:r>
              <w:rPr>
                <w:rFonts w:ascii="Arial" w:cs="Arial" w:eastAsia="Arial" w:hAnsi="Arial"/>
                <w:sz w:val="18"/>
                <w:szCs w:val="18"/>
                <w:color w:val="auto"/>
              </w:rPr>
              <w:t>Lender in Individual Capacity</w:t>
            </w:r>
          </w:p>
        </w:tc>
        <w:tc>
          <w:tcPr>
            <w:tcW w:w="19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15.11</w:t>
            </w:r>
          </w:p>
        </w:tc>
        <w:tc>
          <w:tcPr>
            <w:tcW w:w="8520" w:type="dxa"/>
            <w:vAlign w:val="bottom"/>
          </w:tcPr>
          <w:p>
            <w:pPr>
              <w:ind w:left="180"/>
              <w:spacing w:after="0"/>
              <w:rPr>
                <w:sz w:val="20"/>
                <w:szCs w:val="20"/>
                <w:color w:val="auto"/>
              </w:rPr>
            </w:pPr>
            <w:r>
              <w:rPr>
                <w:rFonts w:ascii="Arial" w:cs="Arial" w:eastAsia="Arial" w:hAnsi="Arial"/>
                <w:sz w:val="18"/>
                <w:szCs w:val="18"/>
                <w:color w:val="auto"/>
              </w:rPr>
              <w:t>Collateral Matters</w:t>
            </w:r>
          </w:p>
        </w:tc>
        <w:tc>
          <w:tcPr>
            <w:tcW w:w="19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15.12</w:t>
            </w:r>
          </w:p>
        </w:tc>
        <w:tc>
          <w:tcPr>
            <w:tcW w:w="8520" w:type="dxa"/>
            <w:vAlign w:val="bottom"/>
          </w:tcPr>
          <w:p>
            <w:pPr>
              <w:ind w:left="180"/>
              <w:spacing w:after="0"/>
              <w:rPr>
                <w:sz w:val="20"/>
                <w:szCs w:val="20"/>
                <w:color w:val="auto"/>
              </w:rPr>
            </w:pPr>
            <w:r>
              <w:rPr>
                <w:rFonts w:ascii="Arial" w:cs="Arial" w:eastAsia="Arial" w:hAnsi="Arial"/>
                <w:sz w:val="18"/>
                <w:szCs w:val="18"/>
                <w:color w:val="auto"/>
              </w:rPr>
              <w:t>Restrictions on Actions by Lenders; Sharing of Payments</w:t>
            </w:r>
          </w:p>
        </w:tc>
        <w:tc>
          <w:tcPr>
            <w:tcW w:w="19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15.13</w:t>
            </w:r>
          </w:p>
        </w:tc>
        <w:tc>
          <w:tcPr>
            <w:tcW w:w="8520" w:type="dxa"/>
            <w:vAlign w:val="bottom"/>
          </w:tcPr>
          <w:p>
            <w:pPr>
              <w:ind w:left="180"/>
              <w:spacing w:after="0"/>
              <w:rPr>
                <w:sz w:val="20"/>
                <w:szCs w:val="20"/>
                <w:color w:val="auto"/>
              </w:rPr>
            </w:pPr>
            <w:r>
              <w:rPr>
                <w:rFonts w:ascii="Arial" w:cs="Arial" w:eastAsia="Arial" w:hAnsi="Arial"/>
                <w:sz w:val="18"/>
                <w:szCs w:val="18"/>
                <w:color w:val="auto"/>
              </w:rPr>
              <w:t>Agency for Perfection</w:t>
            </w:r>
          </w:p>
        </w:tc>
        <w:tc>
          <w:tcPr>
            <w:tcW w:w="19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15.14</w:t>
            </w:r>
          </w:p>
        </w:tc>
        <w:tc>
          <w:tcPr>
            <w:tcW w:w="8520" w:type="dxa"/>
            <w:vAlign w:val="bottom"/>
          </w:tcPr>
          <w:p>
            <w:pPr>
              <w:ind w:left="180"/>
              <w:spacing w:after="0"/>
              <w:rPr>
                <w:sz w:val="20"/>
                <w:szCs w:val="20"/>
                <w:color w:val="auto"/>
              </w:rPr>
            </w:pPr>
            <w:r>
              <w:rPr>
                <w:rFonts w:ascii="Arial" w:cs="Arial" w:eastAsia="Arial" w:hAnsi="Arial"/>
                <w:sz w:val="18"/>
                <w:szCs w:val="18"/>
                <w:color w:val="auto"/>
              </w:rPr>
              <w:t>Payments by Agent to the Lenders</w:t>
            </w:r>
          </w:p>
        </w:tc>
        <w:tc>
          <w:tcPr>
            <w:tcW w:w="19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15.15</w:t>
            </w:r>
          </w:p>
        </w:tc>
        <w:tc>
          <w:tcPr>
            <w:tcW w:w="8520" w:type="dxa"/>
            <w:vAlign w:val="bottom"/>
          </w:tcPr>
          <w:p>
            <w:pPr>
              <w:ind w:left="180"/>
              <w:spacing w:after="0"/>
              <w:rPr>
                <w:sz w:val="20"/>
                <w:szCs w:val="20"/>
                <w:color w:val="auto"/>
              </w:rPr>
            </w:pPr>
            <w:r>
              <w:rPr>
                <w:rFonts w:ascii="Arial" w:cs="Arial" w:eastAsia="Arial" w:hAnsi="Arial"/>
                <w:sz w:val="18"/>
                <w:szCs w:val="18"/>
                <w:color w:val="auto"/>
              </w:rPr>
              <w:t>Concerning the Collateral and Related Loan Documents</w:t>
            </w:r>
          </w:p>
        </w:tc>
        <w:tc>
          <w:tcPr>
            <w:tcW w:w="19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15.16</w:t>
            </w:r>
          </w:p>
        </w:tc>
        <w:tc>
          <w:tcPr>
            <w:tcW w:w="8520" w:type="dxa"/>
            <w:vAlign w:val="bottom"/>
          </w:tcPr>
          <w:p>
            <w:pPr>
              <w:ind w:left="180"/>
              <w:spacing w:after="0"/>
              <w:rPr>
                <w:sz w:val="20"/>
                <w:szCs w:val="20"/>
                <w:color w:val="auto"/>
              </w:rPr>
            </w:pPr>
            <w:r>
              <w:rPr>
                <w:rFonts w:ascii="Arial" w:cs="Arial" w:eastAsia="Arial" w:hAnsi="Arial"/>
                <w:sz w:val="18"/>
                <w:szCs w:val="18"/>
                <w:color w:val="auto"/>
              </w:rPr>
              <w:t>Field Examination Reports; Confidentiality; Disclaimers by Lenders; Other Reports and Information</w:t>
            </w:r>
          </w:p>
        </w:tc>
        <w:tc>
          <w:tcPr>
            <w:tcW w:w="19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15.17</w:t>
            </w:r>
          </w:p>
        </w:tc>
        <w:tc>
          <w:tcPr>
            <w:tcW w:w="8520" w:type="dxa"/>
            <w:vAlign w:val="bottom"/>
          </w:tcPr>
          <w:p>
            <w:pPr>
              <w:ind w:left="180"/>
              <w:spacing w:after="0"/>
              <w:rPr>
                <w:sz w:val="20"/>
                <w:szCs w:val="20"/>
                <w:color w:val="auto"/>
              </w:rPr>
            </w:pPr>
            <w:r>
              <w:rPr>
                <w:rFonts w:ascii="Arial" w:cs="Arial" w:eastAsia="Arial" w:hAnsi="Arial"/>
                <w:sz w:val="18"/>
                <w:szCs w:val="18"/>
                <w:color w:val="auto"/>
              </w:rPr>
              <w:t>Several Obligations; No Liability</w:t>
            </w:r>
          </w:p>
        </w:tc>
        <w:tc>
          <w:tcPr>
            <w:tcW w:w="19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740" w:type="dxa"/>
            <w:vAlign w:val="bottom"/>
          </w:tcPr>
          <w:p>
            <w:pPr>
              <w:ind w:left="180"/>
              <w:spacing w:after="0"/>
              <w:rPr>
                <w:sz w:val="20"/>
                <w:szCs w:val="20"/>
                <w:color w:val="auto"/>
              </w:rPr>
            </w:pPr>
            <w:r>
              <w:rPr>
                <w:rFonts w:ascii="Arial" w:cs="Arial" w:eastAsia="Arial" w:hAnsi="Arial"/>
                <w:sz w:val="18"/>
                <w:szCs w:val="18"/>
                <w:color w:val="auto"/>
              </w:rPr>
              <w:t>15.18</w:t>
            </w:r>
          </w:p>
        </w:tc>
        <w:tc>
          <w:tcPr>
            <w:tcW w:w="8520" w:type="dxa"/>
            <w:vAlign w:val="bottom"/>
          </w:tcPr>
          <w:p>
            <w:pPr>
              <w:ind w:left="180"/>
              <w:spacing w:after="0"/>
              <w:rPr>
                <w:sz w:val="20"/>
                <w:szCs w:val="20"/>
                <w:color w:val="auto"/>
              </w:rPr>
            </w:pPr>
            <w:r>
              <w:rPr>
                <w:rFonts w:ascii="Arial" w:cs="Arial" w:eastAsia="Arial" w:hAnsi="Arial"/>
                <w:sz w:val="18"/>
                <w:szCs w:val="18"/>
                <w:color w:val="auto"/>
              </w:rPr>
              <w:t>Lead Arranger and Book Runner Agents</w:t>
            </w:r>
          </w:p>
        </w:tc>
        <w:tc>
          <w:tcPr>
            <w:tcW w:w="19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16.</w:t>
            </w:r>
          </w:p>
        </w:tc>
        <w:tc>
          <w:tcPr>
            <w:tcW w:w="8520" w:type="dxa"/>
            <w:vAlign w:val="bottom"/>
          </w:tcPr>
          <w:p>
            <w:pPr>
              <w:ind w:left="180"/>
              <w:spacing w:after="0"/>
              <w:rPr>
                <w:sz w:val="20"/>
                <w:szCs w:val="20"/>
                <w:color w:val="auto"/>
              </w:rPr>
            </w:pPr>
            <w:r>
              <w:rPr>
                <w:rFonts w:ascii="Arial" w:cs="Arial" w:eastAsia="Arial" w:hAnsi="Arial"/>
                <w:sz w:val="18"/>
                <w:szCs w:val="18"/>
                <w:color w:val="auto"/>
              </w:rPr>
              <w:t>WITHHOLDING TAXES</w:t>
            </w:r>
          </w:p>
        </w:tc>
        <w:tc>
          <w:tcPr>
            <w:tcW w:w="19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16.1</w:t>
            </w:r>
          </w:p>
        </w:tc>
        <w:tc>
          <w:tcPr>
            <w:tcW w:w="8520" w:type="dxa"/>
            <w:vAlign w:val="bottom"/>
          </w:tcPr>
          <w:p>
            <w:pPr>
              <w:ind w:left="180"/>
              <w:spacing w:after="0"/>
              <w:rPr>
                <w:sz w:val="20"/>
                <w:szCs w:val="20"/>
                <w:color w:val="auto"/>
              </w:rPr>
            </w:pPr>
            <w:r>
              <w:rPr>
                <w:rFonts w:ascii="Arial" w:cs="Arial" w:eastAsia="Arial" w:hAnsi="Arial"/>
                <w:sz w:val="18"/>
                <w:szCs w:val="18"/>
                <w:color w:val="auto"/>
              </w:rPr>
              <w:t>Payments</w:t>
            </w:r>
          </w:p>
        </w:tc>
        <w:tc>
          <w:tcPr>
            <w:tcW w:w="19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16.2</w:t>
            </w:r>
          </w:p>
        </w:tc>
        <w:tc>
          <w:tcPr>
            <w:tcW w:w="8520" w:type="dxa"/>
            <w:vAlign w:val="bottom"/>
          </w:tcPr>
          <w:p>
            <w:pPr>
              <w:ind w:left="180"/>
              <w:spacing w:after="0"/>
              <w:rPr>
                <w:sz w:val="20"/>
                <w:szCs w:val="20"/>
                <w:color w:val="auto"/>
              </w:rPr>
            </w:pPr>
            <w:r>
              <w:rPr>
                <w:rFonts w:ascii="Arial" w:cs="Arial" w:eastAsia="Arial" w:hAnsi="Arial"/>
                <w:sz w:val="18"/>
                <w:szCs w:val="18"/>
                <w:color w:val="auto"/>
              </w:rPr>
              <w:t>Exemptions</w:t>
            </w:r>
          </w:p>
        </w:tc>
        <w:tc>
          <w:tcPr>
            <w:tcW w:w="19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16.3</w:t>
            </w:r>
          </w:p>
        </w:tc>
        <w:tc>
          <w:tcPr>
            <w:tcW w:w="8520" w:type="dxa"/>
            <w:vAlign w:val="bottom"/>
          </w:tcPr>
          <w:p>
            <w:pPr>
              <w:ind w:left="180"/>
              <w:spacing w:after="0"/>
              <w:rPr>
                <w:sz w:val="20"/>
                <w:szCs w:val="20"/>
                <w:color w:val="auto"/>
              </w:rPr>
            </w:pPr>
            <w:r>
              <w:rPr>
                <w:rFonts w:ascii="Arial" w:cs="Arial" w:eastAsia="Arial" w:hAnsi="Arial"/>
                <w:sz w:val="18"/>
                <w:szCs w:val="18"/>
                <w:color w:val="auto"/>
              </w:rPr>
              <w:t>Reductions</w:t>
            </w:r>
          </w:p>
        </w:tc>
        <w:tc>
          <w:tcPr>
            <w:tcW w:w="19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16.4</w:t>
            </w:r>
          </w:p>
        </w:tc>
        <w:tc>
          <w:tcPr>
            <w:tcW w:w="8520" w:type="dxa"/>
            <w:vAlign w:val="bottom"/>
          </w:tcPr>
          <w:p>
            <w:pPr>
              <w:ind w:left="180"/>
              <w:spacing w:after="0"/>
              <w:rPr>
                <w:sz w:val="20"/>
                <w:szCs w:val="20"/>
                <w:color w:val="auto"/>
              </w:rPr>
            </w:pPr>
            <w:r>
              <w:rPr>
                <w:rFonts w:ascii="Arial" w:cs="Arial" w:eastAsia="Arial" w:hAnsi="Arial"/>
                <w:sz w:val="18"/>
                <w:szCs w:val="18"/>
                <w:color w:val="auto"/>
              </w:rPr>
              <w:t>Refunds</w:t>
            </w:r>
          </w:p>
        </w:tc>
        <w:tc>
          <w:tcPr>
            <w:tcW w:w="19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740" w:type="dxa"/>
            <w:vAlign w:val="bottom"/>
          </w:tcPr>
          <w:p>
            <w:pPr>
              <w:ind w:left="180"/>
              <w:spacing w:after="0"/>
              <w:rPr>
                <w:sz w:val="20"/>
                <w:szCs w:val="20"/>
                <w:color w:val="auto"/>
              </w:rPr>
            </w:pPr>
            <w:r>
              <w:rPr>
                <w:rFonts w:ascii="Arial" w:cs="Arial" w:eastAsia="Arial" w:hAnsi="Arial"/>
                <w:sz w:val="18"/>
                <w:szCs w:val="18"/>
                <w:color w:val="auto"/>
              </w:rPr>
              <w:t>16.5</w:t>
            </w:r>
          </w:p>
        </w:tc>
        <w:tc>
          <w:tcPr>
            <w:tcW w:w="8520" w:type="dxa"/>
            <w:vAlign w:val="bottom"/>
          </w:tcPr>
          <w:p>
            <w:pPr>
              <w:ind w:left="180"/>
              <w:spacing w:after="0"/>
              <w:rPr>
                <w:sz w:val="20"/>
                <w:szCs w:val="20"/>
                <w:color w:val="auto"/>
              </w:rPr>
            </w:pPr>
            <w:r>
              <w:rPr>
                <w:rFonts w:ascii="Arial" w:cs="Arial" w:eastAsia="Arial" w:hAnsi="Arial"/>
                <w:sz w:val="18"/>
                <w:szCs w:val="18"/>
                <w:color w:val="auto"/>
              </w:rPr>
              <w:t>Lender Status Confirmation</w:t>
            </w:r>
          </w:p>
        </w:tc>
        <w:tc>
          <w:tcPr>
            <w:tcW w:w="19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17.</w:t>
            </w:r>
          </w:p>
        </w:tc>
        <w:tc>
          <w:tcPr>
            <w:tcW w:w="8520" w:type="dxa"/>
            <w:vAlign w:val="bottom"/>
          </w:tcPr>
          <w:p>
            <w:pPr>
              <w:ind w:left="180"/>
              <w:spacing w:after="0"/>
              <w:rPr>
                <w:sz w:val="20"/>
                <w:szCs w:val="20"/>
                <w:color w:val="auto"/>
              </w:rPr>
            </w:pPr>
            <w:r>
              <w:rPr>
                <w:rFonts w:ascii="Arial" w:cs="Arial" w:eastAsia="Arial" w:hAnsi="Arial"/>
                <w:sz w:val="18"/>
                <w:szCs w:val="18"/>
                <w:color w:val="auto"/>
              </w:rPr>
              <w:t>GENERAL PROVISIONS</w:t>
            </w:r>
          </w:p>
        </w:tc>
        <w:tc>
          <w:tcPr>
            <w:tcW w:w="19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17.1</w:t>
            </w:r>
          </w:p>
        </w:tc>
        <w:tc>
          <w:tcPr>
            <w:tcW w:w="8520" w:type="dxa"/>
            <w:vAlign w:val="bottom"/>
          </w:tcPr>
          <w:p>
            <w:pPr>
              <w:ind w:left="180"/>
              <w:spacing w:after="0"/>
              <w:rPr>
                <w:sz w:val="20"/>
                <w:szCs w:val="20"/>
                <w:color w:val="auto"/>
              </w:rPr>
            </w:pPr>
            <w:r>
              <w:rPr>
                <w:rFonts w:ascii="Arial" w:cs="Arial" w:eastAsia="Arial" w:hAnsi="Arial"/>
                <w:sz w:val="18"/>
                <w:szCs w:val="18"/>
                <w:color w:val="auto"/>
              </w:rPr>
              <w:t>Effectiveness</w:t>
            </w:r>
          </w:p>
        </w:tc>
        <w:tc>
          <w:tcPr>
            <w:tcW w:w="19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17.2</w:t>
            </w:r>
          </w:p>
        </w:tc>
        <w:tc>
          <w:tcPr>
            <w:tcW w:w="8520" w:type="dxa"/>
            <w:vAlign w:val="bottom"/>
          </w:tcPr>
          <w:p>
            <w:pPr>
              <w:ind w:left="180"/>
              <w:spacing w:after="0"/>
              <w:rPr>
                <w:sz w:val="20"/>
                <w:szCs w:val="20"/>
                <w:color w:val="auto"/>
              </w:rPr>
            </w:pPr>
            <w:r>
              <w:rPr>
                <w:rFonts w:ascii="Arial" w:cs="Arial" w:eastAsia="Arial" w:hAnsi="Arial"/>
                <w:sz w:val="18"/>
                <w:szCs w:val="18"/>
                <w:color w:val="auto"/>
              </w:rPr>
              <w:t>Section Headings</w:t>
            </w:r>
          </w:p>
        </w:tc>
        <w:tc>
          <w:tcPr>
            <w:tcW w:w="19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17.3</w:t>
            </w:r>
          </w:p>
        </w:tc>
        <w:tc>
          <w:tcPr>
            <w:tcW w:w="8520" w:type="dxa"/>
            <w:vAlign w:val="bottom"/>
          </w:tcPr>
          <w:p>
            <w:pPr>
              <w:ind w:left="180"/>
              <w:spacing w:after="0"/>
              <w:rPr>
                <w:sz w:val="20"/>
                <w:szCs w:val="20"/>
                <w:color w:val="auto"/>
              </w:rPr>
            </w:pPr>
            <w:r>
              <w:rPr>
                <w:rFonts w:ascii="Arial" w:cs="Arial" w:eastAsia="Arial" w:hAnsi="Arial"/>
                <w:sz w:val="18"/>
                <w:szCs w:val="18"/>
                <w:color w:val="auto"/>
              </w:rPr>
              <w:t>Interpretation</w:t>
            </w:r>
          </w:p>
        </w:tc>
        <w:tc>
          <w:tcPr>
            <w:tcW w:w="19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17.4</w:t>
            </w:r>
          </w:p>
        </w:tc>
        <w:tc>
          <w:tcPr>
            <w:tcW w:w="8520" w:type="dxa"/>
            <w:vAlign w:val="bottom"/>
          </w:tcPr>
          <w:p>
            <w:pPr>
              <w:ind w:left="180"/>
              <w:spacing w:after="0"/>
              <w:rPr>
                <w:sz w:val="20"/>
                <w:szCs w:val="20"/>
                <w:color w:val="auto"/>
              </w:rPr>
            </w:pPr>
            <w:r>
              <w:rPr>
                <w:rFonts w:ascii="Arial" w:cs="Arial" w:eastAsia="Arial" w:hAnsi="Arial"/>
                <w:sz w:val="18"/>
                <w:szCs w:val="18"/>
                <w:color w:val="auto"/>
              </w:rPr>
              <w:t>Severability of Provisions</w:t>
            </w:r>
          </w:p>
        </w:tc>
        <w:tc>
          <w:tcPr>
            <w:tcW w:w="19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17.5</w:t>
            </w:r>
          </w:p>
        </w:tc>
        <w:tc>
          <w:tcPr>
            <w:tcW w:w="8520" w:type="dxa"/>
            <w:vAlign w:val="bottom"/>
          </w:tcPr>
          <w:p>
            <w:pPr>
              <w:ind w:left="180"/>
              <w:spacing w:after="0"/>
              <w:rPr>
                <w:sz w:val="20"/>
                <w:szCs w:val="20"/>
                <w:color w:val="auto"/>
              </w:rPr>
            </w:pPr>
            <w:r>
              <w:rPr>
                <w:rFonts w:ascii="Arial" w:cs="Arial" w:eastAsia="Arial" w:hAnsi="Arial"/>
                <w:sz w:val="18"/>
                <w:szCs w:val="18"/>
                <w:color w:val="auto"/>
              </w:rPr>
              <w:t>Bank Product Providers</w:t>
            </w:r>
          </w:p>
        </w:tc>
        <w:tc>
          <w:tcPr>
            <w:tcW w:w="19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17.6</w:t>
            </w:r>
          </w:p>
        </w:tc>
        <w:tc>
          <w:tcPr>
            <w:tcW w:w="8520" w:type="dxa"/>
            <w:vAlign w:val="bottom"/>
          </w:tcPr>
          <w:p>
            <w:pPr>
              <w:ind w:left="180"/>
              <w:spacing w:after="0"/>
              <w:rPr>
                <w:sz w:val="20"/>
                <w:szCs w:val="20"/>
                <w:color w:val="auto"/>
              </w:rPr>
            </w:pPr>
            <w:r>
              <w:rPr>
                <w:rFonts w:ascii="Arial" w:cs="Arial" w:eastAsia="Arial" w:hAnsi="Arial"/>
                <w:sz w:val="18"/>
                <w:szCs w:val="18"/>
                <w:color w:val="auto"/>
              </w:rPr>
              <w:t>Debtor-Creditor Relationship</w:t>
            </w:r>
          </w:p>
        </w:tc>
        <w:tc>
          <w:tcPr>
            <w:tcW w:w="19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17.7</w:t>
            </w:r>
          </w:p>
        </w:tc>
        <w:tc>
          <w:tcPr>
            <w:tcW w:w="8520" w:type="dxa"/>
            <w:vAlign w:val="bottom"/>
          </w:tcPr>
          <w:p>
            <w:pPr>
              <w:ind w:left="180"/>
              <w:spacing w:after="0"/>
              <w:rPr>
                <w:sz w:val="20"/>
                <w:szCs w:val="20"/>
                <w:color w:val="auto"/>
              </w:rPr>
            </w:pPr>
            <w:r>
              <w:rPr>
                <w:rFonts w:ascii="Arial" w:cs="Arial" w:eastAsia="Arial" w:hAnsi="Arial"/>
                <w:sz w:val="18"/>
                <w:szCs w:val="18"/>
                <w:color w:val="auto"/>
              </w:rPr>
              <w:t>Counterparts; Electronic Execution</w:t>
            </w:r>
          </w:p>
        </w:tc>
        <w:tc>
          <w:tcPr>
            <w:tcW w:w="19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17.8</w:t>
            </w:r>
          </w:p>
        </w:tc>
        <w:tc>
          <w:tcPr>
            <w:tcW w:w="8520" w:type="dxa"/>
            <w:vAlign w:val="bottom"/>
          </w:tcPr>
          <w:p>
            <w:pPr>
              <w:ind w:left="180"/>
              <w:spacing w:after="0"/>
              <w:rPr>
                <w:sz w:val="20"/>
                <w:szCs w:val="20"/>
                <w:color w:val="auto"/>
              </w:rPr>
            </w:pPr>
            <w:r>
              <w:rPr>
                <w:rFonts w:ascii="Arial" w:cs="Arial" w:eastAsia="Arial" w:hAnsi="Arial"/>
                <w:sz w:val="18"/>
                <w:szCs w:val="18"/>
                <w:color w:val="auto"/>
              </w:rPr>
              <w:t>Revival and Reinstatement of Obligations; Certain Waivers</w:t>
            </w:r>
          </w:p>
        </w:tc>
        <w:tc>
          <w:tcPr>
            <w:tcW w:w="19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17.9</w:t>
            </w:r>
          </w:p>
        </w:tc>
        <w:tc>
          <w:tcPr>
            <w:tcW w:w="852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19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17.10</w:t>
            </w:r>
          </w:p>
        </w:tc>
        <w:tc>
          <w:tcPr>
            <w:tcW w:w="8520" w:type="dxa"/>
            <w:vAlign w:val="bottom"/>
          </w:tcPr>
          <w:p>
            <w:pPr>
              <w:ind w:left="180"/>
              <w:spacing w:after="0"/>
              <w:rPr>
                <w:sz w:val="20"/>
                <w:szCs w:val="20"/>
                <w:color w:val="auto"/>
              </w:rPr>
            </w:pPr>
            <w:r>
              <w:rPr>
                <w:rFonts w:ascii="Arial" w:cs="Arial" w:eastAsia="Arial" w:hAnsi="Arial"/>
                <w:sz w:val="18"/>
                <w:szCs w:val="18"/>
                <w:color w:val="auto"/>
              </w:rPr>
              <w:t>Survival</w:t>
            </w:r>
          </w:p>
        </w:tc>
        <w:tc>
          <w:tcPr>
            <w:tcW w:w="19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17.11</w:t>
            </w:r>
          </w:p>
        </w:tc>
        <w:tc>
          <w:tcPr>
            <w:tcW w:w="8520" w:type="dxa"/>
            <w:vAlign w:val="bottom"/>
          </w:tcPr>
          <w:p>
            <w:pPr>
              <w:ind w:left="180"/>
              <w:spacing w:after="0"/>
              <w:rPr>
                <w:sz w:val="20"/>
                <w:szCs w:val="20"/>
                <w:color w:val="auto"/>
              </w:rPr>
            </w:pPr>
            <w:r>
              <w:rPr>
                <w:rFonts w:ascii="Arial" w:cs="Arial" w:eastAsia="Arial" w:hAnsi="Arial"/>
                <w:sz w:val="18"/>
                <w:szCs w:val="18"/>
                <w:color w:val="auto"/>
              </w:rPr>
              <w:t>Patriot Act; Due Diligence</w:t>
            </w:r>
          </w:p>
        </w:tc>
        <w:tc>
          <w:tcPr>
            <w:tcW w:w="19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17.12</w:t>
            </w:r>
          </w:p>
        </w:tc>
        <w:tc>
          <w:tcPr>
            <w:tcW w:w="8520" w:type="dxa"/>
            <w:vAlign w:val="bottom"/>
          </w:tcPr>
          <w:p>
            <w:pPr>
              <w:ind w:left="180"/>
              <w:spacing w:after="0"/>
              <w:rPr>
                <w:sz w:val="20"/>
                <w:szCs w:val="20"/>
                <w:color w:val="auto"/>
              </w:rPr>
            </w:pPr>
            <w:r>
              <w:rPr>
                <w:rFonts w:ascii="Arial" w:cs="Arial" w:eastAsia="Arial" w:hAnsi="Arial"/>
                <w:sz w:val="18"/>
                <w:szCs w:val="18"/>
                <w:color w:val="auto"/>
              </w:rPr>
              <w:t>Integration</w:t>
            </w:r>
          </w:p>
        </w:tc>
        <w:tc>
          <w:tcPr>
            <w:tcW w:w="19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17.13</w:t>
            </w:r>
          </w:p>
        </w:tc>
        <w:tc>
          <w:tcPr>
            <w:tcW w:w="8520" w:type="dxa"/>
            <w:vAlign w:val="bottom"/>
          </w:tcPr>
          <w:p>
            <w:pPr>
              <w:ind w:left="180"/>
              <w:spacing w:after="0"/>
              <w:rPr>
                <w:sz w:val="20"/>
                <w:szCs w:val="20"/>
                <w:color w:val="auto"/>
              </w:rPr>
            </w:pPr>
            <w:r>
              <w:rPr>
                <w:rFonts w:ascii="Arial" w:cs="Arial" w:eastAsia="Arial" w:hAnsi="Arial"/>
                <w:sz w:val="18"/>
                <w:szCs w:val="18"/>
                <w:color w:val="auto"/>
              </w:rPr>
              <w:t>AerSale as Agent for Borrowers</w:t>
            </w:r>
          </w:p>
        </w:tc>
        <w:tc>
          <w:tcPr>
            <w:tcW w:w="19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rPr>
              <w:t>17.14</w:t>
            </w:r>
          </w:p>
        </w:tc>
        <w:tc>
          <w:tcPr>
            <w:tcW w:w="8520" w:type="dxa"/>
            <w:vAlign w:val="bottom"/>
          </w:tcPr>
          <w:p>
            <w:pPr>
              <w:ind w:left="18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19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740" w:type="dxa"/>
            <w:vAlign w:val="bottom"/>
          </w:tcPr>
          <w:p>
            <w:pPr>
              <w:ind w:left="180"/>
              <w:spacing w:after="0"/>
              <w:rPr>
                <w:sz w:val="20"/>
                <w:szCs w:val="20"/>
                <w:color w:val="auto"/>
              </w:rPr>
            </w:pPr>
            <w:r>
              <w:rPr>
                <w:rFonts w:ascii="Arial" w:cs="Arial" w:eastAsia="Arial" w:hAnsi="Arial"/>
                <w:sz w:val="18"/>
                <w:szCs w:val="18"/>
                <w:color w:val="auto"/>
              </w:rPr>
              <w:t>17.15</w:t>
            </w:r>
          </w:p>
        </w:tc>
        <w:tc>
          <w:tcPr>
            <w:tcW w:w="8520" w:type="dxa"/>
            <w:vAlign w:val="bottom"/>
          </w:tcPr>
          <w:p>
            <w:pPr>
              <w:ind w:left="180"/>
              <w:spacing w:after="0"/>
              <w:rPr>
                <w:sz w:val="20"/>
                <w:szCs w:val="20"/>
                <w:color w:val="auto"/>
              </w:rPr>
            </w:pPr>
            <w:r>
              <w:rPr>
                <w:rFonts w:ascii="Arial" w:cs="Arial" w:eastAsia="Arial" w:hAnsi="Arial"/>
                <w:sz w:val="18"/>
                <w:szCs w:val="18"/>
                <w:color w:val="auto"/>
              </w:rPr>
              <w:t>Amendment and Restatement; Reallocation of the Advances and the Commitment Amounts</w:t>
            </w:r>
          </w:p>
        </w:tc>
        <w:tc>
          <w:tcPr>
            <w:tcW w:w="1980" w:type="dxa"/>
            <w:vAlign w:val="bottom"/>
          </w:tcPr>
          <w:p>
            <w:pPr>
              <w:jc w:val="right"/>
              <w:spacing w:after="0"/>
              <w:rPr>
                <w:sz w:val="20"/>
                <w:szCs w:val="20"/>
                <w:color w:val="auto"/>
              </w:rPr>
            </w:pPr>
            <w:r>
              <w:rPr>
                <w:rFonts w:ascii="Arial" w:cs="Arial" w:eastAsia="Arial" w:hAnsi="Arial"/>
                <w:sz w:val="18"/>
                <w:szCs w:val="18"/>
                <w:color w:val="auto"/>
              </w:rPr>
              <w:t>130</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9540" w:type="dxa"/>
            <w:vAlign w:val="bottom"/>
          </w:tcPr>
          <w:p>
            <w:pPr>
              <w:ind w:left="2700"/>
              <w:spacing w:after="0"/>
              <w:rPr>
                <w:sz w:val="20"/>
                <w:szCs w:val="20"/>
                <w:color w:val="auto"/>
              </w:rPr>
            </w:pPr>
            <w:r>
              <w:rPr>
                <w:rFonts w:ascii="Arial" w:cs="Arial" w:eastAsia="Arial" w:hAnsi="Arial"/>
                <w:sz w:val="18"/>
                <w:szCs w:val="18"/>
                <w:b w:val="1"/>
                <w:bCs w:val="1"/>
                <w:color w:val="auto"/>
              </w:rPr>
              <w:t>EXHIBITS AND SCHEDULES</w:t>
            </w:r>
          </w:p>
        </w:tc>
      </w:tr>
      <w:tr>
        <w:trPr>
          <w:trHeight w:val="418"/>
        </w:trPr>
        <w:tc>
          <w:tcPr>
            <w:tcW w:w="1700" w:type="dxa"/>
            <w:vAlign w:val="bottom"/>
          </w:tcPr>
          <w:p>
            <w:pPr>
              <w:spacing w:after="0"/>
              <w:rPr>
                <w:sz w:val="20"/>
                <w:szCs w:val="20"/>
                <w:color w:val="auto"/>
              </w:rPr>
            </w:pPr>
            <w:r>
              <w:rPr>
                <w:rFonts w:ascii="Arial" w:cs="Arial" w:eastAsia="Arial" w:hAnsi="Arial"/>
                <w:sz w:val="18"/>
                <w:szCs w:val="18"/>
                <w:color w:val="auto"/>
              </w:rPr>
              <w:t>Exhibit A-1</w:t>
            </w:r>
          </w:p>
        </w:tc>
        <w:tc>
          <w:tcPr>
            <w:tcW w:w="9540" w:type="dxa"/>
            <w:vAlign w:val="bottom"/>
          </w:tcPr>
          <w:p>
            <w:pPr>
              <w:ind w:left="560"/>
              <w:spacing w:after="0"/>
              <w:rPr>
                <w:sz w:val="20"/>
                <w:szCs w:val="20"/>
                <w:color w:val="auto"/>
              </w:rPr>
            </w:pPr>
            <w:r>
              <w:rPr>
                <w:rFonts w:ascii="Arial" w:cs="Arial" w:eastAsia="Arial" w:hAnsi="Arial"/>
                <w:sz w:val="18"/>
                <w:szCs w:val="18"/>
                <w:color w:val="auto"/>
              </w:rPr>
              <w:t>Form of Assignment and Acceptance</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B-1</w:t>
            </w:r>
          </w:p>
        </w:tc>
        <w:tc>
          <w:tcPr>
            <w:tcW w:w="9540" w:type="dxa"/>
            <w:vAlign w:val="bottom"/>
          </w:tcPr>
          <w:p>
            <w:pPr>
              <w:ind w:left="560"/>
              <w:spacing w:after="0"/>
              <w:rPr>
                <w:sz w:val="20"/>
                <w:szCs w:val="20"/>
                <w:color w:val="auto"/>
              </w:rPr>
            </w:pPr>
            <w:r>
              <w:rPr>
                <w:rFonts w:ascii="Arial" w:cs="Arial" w:eastAsia="Arial" w:hAnsi="Arial"/>
                <w:sz w:val="18"/>
                <w:szCs w:val="18"/>
                <w:color w:val="auto"/>
              </w:rPr>
              <w:t>Form of Borrowing Base Certificate</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B-2</w:t>
            </w:r>
          </w:p>
        </w:tc>
        <w:tc>
          <w:tcPr>
            <w:tcW w:w="9540" w:type="dxa"/>
            <w:vAlign w:val="bottom"/>
          </w:tcPr>
          <w:p>
            <w:pPr>
              <w:ind w:left="560"/>
              <w:spacing w:after="0"/>
              <w:rPr>
                <w:sz w:val="20"/>
                <w:szCs w:val="20"/>
                <w:color w:val="auto"/>
              </w:rPr>
            </w:pPr>
            <w:r>
              <w:rPr>
                <w:rFonts w:ascii="Arial" w:cs="Arial" w:eastAsia="Arial" w:hAnsi="Arial"/>
                <w:sz w:val="18"/>
                <w:szCs w:val="18"/>
                <w:color w:val="auto"/>
              </w:rPr>
              <w:t>Form of Bank Product Provider Agreement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C-1</w:t>
            </w:r>
          </w:p>
        </w:tc>
        <w:tc>
          <w:tcPr>
            <w:tcW w:w="9540" w:type="dxa"/>
            <w:vAlign w:val="bottom"/>
          </w:tcPr>
          <w:p>
            <w:pPr>
              <w:ind w:left="56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L-1</w:t>
            </w:r>
          </w:p>
        </w:tc>
        <w:tc>
          <w:tcPr>
            <w:tcW w:w="9540" w:type="dxa"/>
            <w:vAlign w:val="bottom"/>
          </w:tcPr>
          <w:p>
            <w:pPr>
              <w:ind w:left="560"/>
              <w:spacing w:after="0"/>
              <w:rPr>
                <w:sz w:val="20"/>
                <w:szCs w:val="20"/>
                <w:color w:val="auto"/>
              </w:rPr>
            </w:pPr>
            <w:r>
              <w:rPr>
                <w:rFonts w:ascii="Arial" w:cs="Arial" w:eastAsia="Arial" w:hAnsi="Arial"/>
                <w:sz w:val="18"/>
                <w:szCs w:val="18"/>
                <w:color w:val="auto"/>
              </w:rPr>
              <w:t>Form of LIBOR Notice</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J-1</w:t>
            </w:r>
          </w:p>
        </w:tc>
        <w:tc>
          <w:tcPr>
            <w:tcW w:w="9540" w:type="dxa"/>
            <w:vAlign w:val="bottom"/>
          </w:tcPr>
          <w:p>
            <w:pPr>
              <w:ind w:left="560"/>
              <w:spacing w:after="0"/>
              <w:rPr>
                <w:sz w:val="20"/>
                <w:szCs w:val="20"/>
                <w:color w:val="auto"/>
              </w:rPr>
            </w:pPr>
            <w:r>
              <w:rPr>
                <w:rFonts w:ascii="Arial" w:cs="Arial" w:eastAsia="Arial" w:hAnsi="Arial"/>
                <w:sz w:val="18"/>
                <w:szCs w:val="18"/>
                <w:color w:val="auto"/>
              </w:rPr>
              <w:t>Form of Joinder</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P-1</w:t>
            </w:r>
          </w:p>
        </w:tc>
        <w:tc>
          <w:tcPr>
            <w:tcW w:w="9540" w:type="dxa"/>
            <w:vAlign w:val="bottom"/>
          </w:tcPr>
          <w:p>
            <w:pPr>
              <w:ind w:left="560"/>
              <w:spacing w:after="0"/>
              <w:rPr>
                <w:sz w:val="20"/>
                <w:szCs w:val="20"/>
                <w:color w:val="auto"/>
              </w:rPr>
            </w:pPr>
            <w:r>
              <w:rPr>
                <w:rFonts w:ascii="Arial" w:cs="Arial" w:eastAsia="Arial" w:hAnsi="Arial"/>
                <w:sz w:val="18"/>
                <w:szCs w:val="18"/>
                <w:color w:val="auto"/>
              </w:rPr>
              <w:t>Form of Perfection Certificate</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U-1</w:t>
            </w:r>
          </w:p>
        </w:tc>
        <w:tc>
          <w:tcPr>
            <w:tcW w:w="9540" w:type="dxa"/>
            <w:vAlign w:val="bottom"/>
          </w:tcPr>
          <w:p>
            <w:pPr>
              <w:ind w:left="560"/>
              <w:spacing w:after="0"/>
              <w:rPr>
                <w:sz w:val="20"/>
                <w:szCs w:val="20"/>
                <w:color w:val="auto"/>
              </w:rPr>
            </w:pPr>
            <w:r>
              <w:rPr>
                <w:rFonts w:ascii="Arial" w:cs="Arial" w:eastAsia="Arial" w:hAnsi="Arial"/>
                <w:sz w:val="18"/>
                <w:szCs w:val="18"/>
                <w:color w:val="auto"/>
              </w:rPr>
              <w:t>Form of U.S. Tax Compliance Certificate</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A-1</w:t>
            </w:r>
          </w:p>
        </w:tc>
        <w:tc>
          <w:tcPr>
            <w:tcW w:w="9540" w:type="dxa"/>
            <w:vAlign w:val="bottom"/>
          </w:tcPr>
          <w:p>
            <w:pPr>
              <w:ind w:left="560"/>
              <w:spacing w:after="0"/>
              <w:rPr>
                <w:sz w:val="20"/>
                <w:szCs w:val="20"/>
                <w:color w:val="auto"/>
              </w:rPr>
            </w:pPr>
            <w:r>
              <w:rPr>
                <w:rFonts w:ascii="Arial" w:cs="Arial" w:eastAsia="Arial" w:hAnsi="Arial"/>
                <w:sz w:val="18"/>
                <w:szCs w:val="18"/>
                <w:color w:val="auto"/>
              </w:rPr>
              <w:t>Agent’s Account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A-2</w:t>
            </w:r>
          </w:p>
        </w:tc>
        <w:tc>
          <w:tcPr>
            <w:tcW w:w="9540" w:type="dxa"/>
            <w:vAlign w:val="bottom"/>
          </w:tcPr>
          <w:p>
            <w:pPr>
              <w:ind w:left="560"/>
              <w:spacing w:after="0"/>
              <w:rPr>
                <w:sz w:val="20"/>
                <w:szCs w:val="20"/>
                <w:color w:val="auto"/>
              </w:rPr>
            </w:pPr>
            <w:r>
              <w:rPr>
                <w:rFonts w:ascii="Arial" w:cs="Arial" w:eastAsia="Arial" w:hAnsi="Arial"/>
                <w:sz w:val="18"/>
                <w:szCs w:val="18"/>
                <w:color w:val="auto"/>
              </w:rPr>
              <w:t>Authorized Persons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C-1</w:t>
            </w:r>
          </w:p>
        </w:tc>
        <w:tc>
          <w:tcPr>
            <w:tcW w:w="9540" w:type="dxa"/>
            <w:vAlign w:val="bottom"/>
          </w:tcPr>
          <w:p>
            <w:pPr>
              <w:ind w:left="560"/>
              <w:spacing w:after="0"/>
              <w:rPr>
                <w:sz w:val="20"/>
                <w:szCs w:val="20"/>
                <w:color w:val="auto"/>
              </w:rPr>
            </w:pPr>
            <w:r>
              <w:rPr>
                <w:rFonts w:ascii="Arial" w:cs="Arial" w:eastAsia="Arial" w:hAnsi="Arial"/>
                <w:sz w:val="18"/>
                <w:szCs w:val="18"/>
                <w:color w:val="auto"/>
              </w:rPr>
              <w:t>Commitments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D-1</w:t>
            </w:r>
          </w:p>
        </w:tc>
        <w:tc>
          <w:tcPr>
            <w:tcW w:w="9540" w:type="dxa"/>
            <w:vAlign w:val="bottom"/>
          </w:tcPr>
          <w:p>
            <w:pPr>
              <w:ind w:left="560"/>
              <w:spacing w:after="0"/>
              <w:rPr>
                <w:sz w:val="20"/>
                <w:szCs w:val="20"/>
                <w:color w:val="auto"/>
              </w:rPr>
            </w:pPr>
            <w:r>
              <w:rPr>
                <w:rFonts w:ascii="Arial" w:cs="Arial" w:eastAsia="Arial" w:hAnsi="Arial"/>
                <w:sz w:val="18"/>
                <w:szCs w:val="18"/>
                <w:color w:val="auto"/>
              </w:rPr>
              <w:t>Designated Account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E-1</w:t>
            </w:r>
          </w:p>
        </w:tc>
        <w:tc>
          <w:tcPr>
            <w:tcW w:w="9540" w:type="dxa"/>
            <w:vAlign w:val="bottom"/>
          </w:tcPr>
          <w:p>
            <w:pPr>
              <w:ind w:left="560"/>
              <w:spacing w:after="0"/>
              <w:rPr>
                <w:sz w:val="20"/>
                <w:szCs w:val="20"/>
                <w:color w:val="auto"/>
              </w:rPr>
            </w:pPr>
            <w:r>
              <w:rPr>
                <w:rFonts w:ascii="Arial" w:cs="Arial" w:eastAsia="Arial" w:hAnsi="Arial"/>
                <w:sz w:val="18"/>
                <w:szCs w:val="18"/>
                <w:color w:val="auto"/>
              </w:rPr>
              <w:t>Eligible Account Jurisdictions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E-2</w:t>
            </w:r>
          </w:p>
        </w:tc>
        <w:tc>
          <w:tcPr>
            <w:tcW w:w="9540" w:type="dxa"/>
            <w:vAlign w:val="bottom"/>
          </w:tcPr>
          <w:p>
            <w:pPr>
              <w:ind w:left="560"/>
              <w:spacing w:after="0"/>
              <w:rPr>
                <w:sz w:val="20"/>
                <w:szCs w:val="20"/>
                <w:color w:val="auto"/>
              </w:rPr>
            </w:pPr>
            <w:r>
              <w:rPr>
                <w:rFonts w:ascii="Arial" w:cs="Arial" w:eastAsia="Arial" w:hAnsi="Arial"/>
                <w:sz w:val="18"/>
                <w:szCs w:val="18"/>
                <w:color w:val="auto"/>
              </w:rPr>
              <w:t>Eligible Parts, Eligible Whole Aircraft Collateral and Eligible Whole Engine Collateral Locations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E-3</w:t>
            </w:r>
          </w:p>
        </w:tc>
        <w:tc>
          <w:tcPr>
            <w:tcW w:w="9540" w:type="dxa"/>
            <w:vAlign w:val="bottom"/>
          </w:tcPr>
          <w:p>
            <w:pPr>
              <w:ind w:left="560"/>
              <w:spacing w:after="0"/>
              <w:rPr>
                <w:sz w:val="20"/>
                <w:szCs w:val="20"/>
                <w:color w:val="auto"/>
              </w:rPr>
            </w:pPr>
            <w:r>
              <w:rPr>
                <w:rFonts w:ascii="Arial" w:cs="Arial" w:eastAsia="Arial" w:hAnsi="Arial"/>
                <w:sz w:val="18"/>
                <w:szCs w:val="18"/>
                <w:color w:val="auto"/>
              </w:rPr>
              <w:t>Existing Letters of Credit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P-1</w:t>
            </w:r>
          </w:p>
        </w:tc>
        <w:tc>
          <w:tcPr>
            <w:tcW w:w="9540" w:type="dxa"/>
            <w:vAlign w:val="bottom"/>
          </w:tcPr>
          <w:p>
            <w:pPr>
              <w:ind w:left="560"/>
              <w:spacing w:after="0"/>
              <w:rPr>
                <w:sz w:val="20"/>
                <w:szCs w:val="20"/>
                <w:color w:val="auto"/>
              </w:rPr>
            </w:pPr>
            <w:r>
              <w:rPr>
                <w:rFonts w:ascii="Arial" w:cs="Arial" w:eastAsia="Arial" w:hAnsi="Arial"/>
                <w:sz w:val="18"/>
                <w:szCs w:val="18"/>
                <w:color w:val="auto"/>
              </w:rPr>
              <w:t>Permitted Investments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P-2</w:t>
            </w:r>
          </w:p>
        </w:tc>
        <w:tc>
          <w:tcPr>
            <w:tcW w:w="9540" w:type="dxa"/>
            <w:vAlign w:val="bottom"/>
          </w:tcPr>
          <w:p>
            <w:pPr>
              <w:ind w:left="560"/>
              <w:spacing w:after="0"/>
              <w:rPr>
                <w:sz w:val="20"/>
                <w:szCs w:val="20"/>
                <w:color w:val="auto"/>
              </w:rPr>
            </w:pPr>
            <w:r>
              <w:rPr>
                <w:rFonts w:ascii="Arial" w:cs="Arial" w:eastAsia="Arial" w:hAnsi="Arial"/>
                <w:sz w:val="18"/>
                <w:szCs w:val="18"/>
                <w:color w:val="auto"/>
              </w:rPr>
              <w:t>Permitted Liens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R-1</w:t>
            </w:r>
          </w:p>
        </w:tc>
        <w:tc>
          <w:tcPr>
            <w:tcW w:w="9540" w:type="dxa"/>
            <w:vAlign w:val="bottom"/>
          </w:tcPr>
          <w:p>
            <w:pPr>
              <w:ind w:left="560"/>
              <w:spacing w:after="0"/>
              <w:rPr>
                <w:sz w:val="20"/>
                <w:szCs w:val="20"/>
                <w:color w:val="auto"/>
              </w:rPr>
            </w:pPr>
            <w:r>
              <w:rPr>
                <w:rFonts w:ascii="Arial" w:cs="Arial" w:eastAsia="Arial" w:hAnsi="Arial"/>
                <w:sz w:val="18"/>
                <w:szCs w:val="18"/>
                <w:color w:val="auto"/>
              </w:rPr>
              <w:t>Real Property Collateral</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3.1</w:t>
            </w:r>
          </w:p>
        </w:tc>
        <w:tc>
          <w:tcPr>
            <w:tcW w:w="9540" w:type="dxa"/>
            <w:vAlign w:val="bottom"/>
          </w:tcPr>
          <w:p>
            <w:pPr>
              <w:ind w:left="560"/>
              <w:spacing w:after="0"/>
              <w:rPr>
                <w:sz w:val="20"/>
                <w:szCs w:val="20"/>
                <w:color w:val="auto"/>
              </w:rPr>
            </w:pPr>
            <w:r>
              <w:rPr>
                <w:rFonts w:ascii="Arial" w:cs="Arial" w:eastAsia="Arial" w:hAnsi="Arial"/>
                <w:sz w:val="18"/>
                <w:szCs w:val="18"/>
                <w:color w:val="auto"/>
              </w:rPr>
              <w:t>Conditions Precedent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3.6</w:t>
            </w:r>
          </w:p>
        </w:tc>
        <w:tc>
          <w:tcPr>
            <w:tcW w:w="9540" w:type="dxa"/>
            <w:vAlign w:val="bottom"/>
          </w:tcPr>
          <w:p>
            <w:pPr>
              <w:ind w:left="560"/>
              <w:spacing w:after="0"/>
              <w:rPr>
                <w:sz w:val="20"/>
                <w:szCs w:val="20"/>
                <w:color w:val="auto"/>
              </w:rPr>
            </w:pPr>
            <w:r>
              <w:rPr>
                <w:rFonts w:ascii="Arial" w:cs="Arial" w:eastAsia="Arial" w:hAnsi="Arial"/>
                <w:sz w:val="18"/>
                <w:szCs w:val="18"/>
                <w:color w:val="auto"/>
              </w:rPr>
              <w:t>Conditions Subsequent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4.1(b)</w:t>
            </w:r>
          </w:p>
        </w:tc>
        <w:tc>
          <w:tcPr>
            <w:tcW w:w="9540" w:type="dxa"/>
            <w:vAlign w:val="bottom"/>
          </w:tcPr>
          <w:p>
            <w:pPr>
              <w:ind w:left="560"/>
              <w:spacing w:after="0"/>
              <w:rPr>
                <w:sz w:val="20"/>
                <w:szCs w:val="20"/>
                <w:color w:val="auto"/>
              </w:rPr>
            </w:pPr>
            <w:r>
              <w:rPr>
                <w:rFonts w:ascii="Arial" w:cs="Arial" w:eastAsia="Arial" w:hAnsi="Arial"/>
                <w:sz w:val="18"/>
                <w:szCs w:val="18"/>
                <w:color w:val="auto"/>
              </w:rPr>
              <w:t>Capitalization of Borrowers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4.1(c)</w:t>
            </w:r>
          </w:p>
        </w:tc>
        <w:tc>
          <w:tcPr>
            <w:tcW w:w="9540" w:type="dxa"/>
            <w:vAlign w:val="bottom"/>
          </w:tcPr>
          <w:p>
            <w:pPr>
              <w:ind w:left="560"/>
              <w:spacing w:after="0"/>
              <w:rPr>
                <w:sz w:val="20"/>
                <w:szCs w:val="20"/>
                <w:color w:val="auto"/>
              </w:rPr>
            </w:pPr>
            <w:r>
              <w:rPr>
                <w:rFonts w:ascii="Arial" w:cs="Arial" w:eastAsia="Arial" w:hAnsi="Arial"/>
                <w:sz w:val="18"/>
                <w:szCs w:val="18"/>
                <w:color w:val="auto"/>
              </w:rPr>
              <w:t>Capitalization of Borrowers’ Subsidiaries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4.1(d)</w:t>
            </w:r>
          </w:p>
        </w:tc>
        <w:tc>
          <w:tcPr>
            <w:tcW w:w="9540" w:type="dxa"/>
            <w:vAlign w:val="bottom"/>
          </w:tcPr>
          <w:p>
            <w:pPr>
              <w:ind w:left="560"/>
              <w:spacing w:after="0"/>
              <w:rPr>
                <w:sz w:val="20"/>
                <w:szCs w:val="20"/>
                <w:color w:val="auto"/>
              </w:rPr>
            </w:pPr>
            <w:r>
              <w:rPr>
                <w:rFonts w:ascii="Arial" w:cs="Arial" w:eastAsia="Arial" w:hAnsi="Arial"/>
                <w:sz w:val="18"/>
                <w:szCs w:val="18"/>
                <w:color w:val="auto"/>
              </w:rPr>
              <w:t>Subscriptions, Options, Warrants, Calls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4.6</w:t>
            </w:r>
          </w:p>
        </w:tc>
        <w:tc>
          <w:tcPr>
            <w:tcW w:w="9540" w:type="dxa"/>
            <w:vAlign w:val="bottom"/>
          </w:tcPr>
          <w:p>
            <w:pPr>
              <w:ind w:left="560"/>
              <w:spacing w:after="0"/>
              <w:rPr>
                <w:sz w:val="20"/>
                <w:szCs w:val="20"/>
                <w:color w:val="auto"/>
              </w:rPr>
            </w:pPr>
            <w:r>
              <w:rPr>
                <w:rFonts w:ascii="Arial" w:cs="Arial" w:eastAsia="Arial" w:hAnsi="Arial"/>
                <w:sz w:val="18"/>
                <w:szCs w:val="18"/>
                <w:color w:val="auto"/>
              </w:rPr>
              <w:t>Litigation</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4.10</w:t>
            </w:r>
          </w:p>
        </w:tc>
        <w:tc>
          <w:tcPr>
            <w:tcW w:w="9540" w:type="dxa"/>
            <w:vAlign w:val="bottom"/>
          </w:tcPr>
          <w:p>
            <w:pPr>
              <w:ind w:left="560"/>
              <w:spacing w:after="0"/>
              <w:rPr>
                <w:sz w:val="20"/>
                <w:szCs w:val="20"/>
                <w:color w:val="auto"/>
              </w:rPr>
            </w:pPr>
            <w:r>
              <w:rPr>
                <w:rFonts w:ascii="Arial" w:cs="Arial" w:eastAsia="Arial" w:hAnsi="Arial"/>
                <w:sz w:val="18"/>
                <w:szCs w:val="18"/>
                <w:color w:val="auto"/>
              </w:rPr>
              <w:t>Plans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4.11</w:t>
            </w:r>
          </w:p>
        </w:tc>
        <w:tc>
          <w:tcPr>
            <w:tcW w:w="9540" w:type="dxa"/>
            <w:vAlign w:val="bottom"/>
          </w:tcPr>
          <w:p>
            <w:pPr>
              <w:ind w:left="560"/>
              <w:spacing w:after="0"/>
              <w:rPr>
                <w:sz w:val="20"/>
                <w:szCs w:val="20"/>
                <w:color w:val="auto"/>
              </w:rPr>
            </w:pPr>
            <w:r>
              <w:rPr>
                <w:rFonts w:ascii="Arial" w:cs="Arial" w:eastAsia="Arial" w:hAnsi="Arial"/>
                <w:sz w:val="18"/>
                <w:szCs w:val="18"/>
                <w:color w:val="auto"/>
              </w:rPr>
              <w:t>Environmental Matters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4.14</w:t>
            </w:r>
          </w:p>
        </w:tc>
        <w:tc>
          <w:tcPr>
            <w:tcW w:w="9540" w:type="dxa"/>
            <w:vAlign w:val="bottom"/>
          </w:tcPr>
          <w:p>
            <w:pPr>
              <w:ind w:left="560"/>
              <w:spacing w:after="0"/>
              <w:rPr>
                <w:sz w:val="20"/>
                <w:szCs w:val="20"/>
                <w:color w:val="auto"/>
              </w:rPr>
            </w:pPr>
            <w:r>
              <w:rPr>
                <w:rFonts w:ascii="Arial" w:cs="Arial" w:eastAsia="Arial" w:hAnsi="Arial"/>
                <w:sz w:val="18"/>
                <w:szCs w:val="18"/>
                <w:color w:val="auto"/>
              </w:rPr>
              <w:t>Permitted Indebtedness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4.27</w:t>
            </w:r>
          </w:p>
        </w:tc>
        <w:tc>
          <w:tcPr>
            <w:tcW w:w="9540" w:type="dxa"/>
            <w:vAlign w:val="bottom"/>
          </w:tcPr>
          <w:p>
            <w:pPr>
              <w:ind w:left="560"/>
              <w:spacing w:after="0"/>
              <w:rPr>
                <w:sz w:val="20"/>
                <w:szCs w:val="20"/>
                <w:color w:val="auto"/>
              </w:rPr>
            </w:pPr>
            <w:r>
              <w:rPr>
                <w:rFonts w:ascii="Arial" w:cs="Arial" w:eastAsia="Arial" w:hAnsi="Arial"/>
                <w:sz w:val="18"/>
                <w:szCs w:val="18"/>
                <w:color w:val="auto"/>
              </w:rPr>
              <w:t>Material Contracts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5.1</w:t>
            </w:r>
          </w:p>
        </w:tc>
        <w:tc>
          <w:tcPr>
            <w:tcW w:w="9540" w:type="dxa"/>
            <w:vAlign w:val="bottom"/>
          </w:tcPr>
          <w:p>
            <w:pPr>
              <w:ind w:left="560"/>
              <w:spacing w:after="0"/>
              <w:rPr>
                <w:sz w:val="20"/>
                <w:szCs w:val="20"/>
                <w:color w:val="auto"/>
              </w:rPr>
            </w:pPr>
            <w:r>
              <w:rPr>
                <w:rFonts w:ascii="Arial" w:cs="Arial" w:eastAsia="Arial" w:hAnsi="Arial"/>
                <w:sz w:val="18"/>
                <w:szCs w:val="18"/>
                <w:color w:val="auto"/>
              </w:rPr>
              <w:t>Financial Statements, Reports, Certificates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5.2</w:t>
            </w:r>
          </w:p>
        </w:tc>
        <w:tc>
          <w:tcPr>
            <w:tcW w:w="9540" w:type="dxa"/>
            <w:vAlign w:val="bottom"/>
          </w:tcPr>
          <w:p>
            <w:pPr>
              <w:ind w:left="560"/>
              <w:spacing w:after="0"/>
              <w:rPr>
                <w:sz w:val="20"/>
                <w:szCs w:val="20"/>
                <w:color w:val="auto"/>
              </w:rPr>
            </w:pPr>
            <w:r>
              <w:rPr>
                <w:rFonts w:ascii="Arial" w:cs="Arial" w:eastAsia="Arial" w:hAnsi="Arial"/>
                <w:sz w:val="18"/>
                <w:szCs w:val="18"/>
                <w:color w:val="auto"/>
              </w:rPr>
              <w:t>Collateral Reporting</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Schedule 6.5</w:t>
            </w:r>
          </w:p>
        </w:tc>
        <w:tc>
          <w:tcPr>
            <w:tcW w:w="9540" w:type="dxa"/>
            <w:vAlign w:val="bottom"/>
          </w:tcPr>
          <w:p>
            <w:pPr>
              <w:ind w:left="560"/>
              <w:spacing w:after="0"/>
              <w:rPr>
                <w:sz w:val="20"/>
                <w:szCs w:val="20"/>
                <w:color w:val="auto"/>
              </w:rPr>
            </w:pPr>
            <w:r>
              <w:rPr>
                <w:rFonts w:ascii="Arial" w:cs="Arial" w:eastAsia="Arial" w:hAnsi="Arial"/>
                <w:sz w:val="18"/>
                <w:szCs w:val="18"/>
                <w:color w:val="auto"/>
              </w:rPr>
              <w:t>Nature of Business</w:t>
            </w:r>
          </w:p>
        </w:tc>
      </w:tr>
      <w:tr>
        <w:trPr>
          <w:trHeight w:val="648"/>
        </w:trPr>
        <w:tc>
          <w:tcPr>
            <w:tcW w:w="170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3800"/>
              <w:spacing w:after="0"/>
              <w:rPr>
                <w:sz w:val="20"/>
                <w:szCs w:val="20"/>
                <w:color w:val="auto"/>
              </w:rPr>
            </w:pPr>
            <w:r>
              <w:rPr>
                <w:rFonts w:ascii="Arial" w:cs="Arial" w:eastAsia="Arial" w:hAnsi="Arial"/>
                <w:sz w:val="18"/>
                <w:szCs w:val="18"/>
                <w:color w:val="auto"/>
              </w:rPr>
              <w:t>-v-</w:t>
            </w:r>
          </w:p>
        </w:tc>
      </w:tr>
    </w:tbl>
    <w:p>
      <w:pPr>
        <w:sectPr>
          <w:pgSz w:w="11900" w:h="16838" w:orient="portrait"/>
          <w:cols w:equalWidth="0" w:num="1">
            <w:col w:w="11240"/>
          </w:cols>
          <w:pgMar w:left="320" w:top="904"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AMENDED AND RESTATED CREDIT AGREEMENT</w:t>
      </w:r>
      <w:r>
        <w:rPr>
          <w:rFonts w:ascii="Arial" w:cs="Arial" w:eastAsia="Arial" w:hAnsi="Arial"/>
          <w:sz w:val="18"/>
          <w:szCs w:val="18"/>
          <w:color w:val="auto"/>
        </w:rPr>
        <w:t xml:space="preserve"> is entered into as of July 20, 2018 by and among the lenders identified on the signature pages hereof (each of such lenders, together with its successors and permitted assigns, is referred to hereinafter as a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as that term is hereinafter further defined), </w:t>
      </w: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 national banking association, as administrative agent for each member of the Lender Group and the Bank Product Providers (in such capacity, together with its successors and assigns in such capacity, “</w:t>
      </w:r>
      <w:r>
        <w:rPr>
          <w:rFonts w:ascii="Arial" w:cs="Arial" w:eastAsia="Arial" w:hAnsi="Arial"/>
          <w:sz w:val="18"/>
          <w:szCs w:val="18"/>
          <w:u w:val="single" w:color="auto"/>
          <w:color w:val="auto"/>
        </w:rPr>
        <w:t>Agent</w:t>
      </w:r>
      <w:r>
        <w:rPr>
          <w:rFonts w:ascii="Arial" w:cs="Arial" w:eastAsia="Arial" w:hAnsi="Arial"/>
          <w:sz w:val="18"/>
          <w:szCs w:val="18"/>
          <w:color w:val="auto"/>
        </w:rPr>
        <w:t xml:space="preserve">”), </w:t>
      </w: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 national banking association, as lead arranger (in such capacity, together with its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assigns in such capacity, the “</w:t>
      </w:r>
      <w:r>
        <w:rPr>
          <w:rFonts w:ascii="Arial" w:cs="Arial" w:eastAsia="Arial" w:hAnsi="Arial"/>
          <w:sz w:val="18"/>
          <w:szCs w:val="18"/>
          <w:u w:val="single" w:color="auto"/>
          <w:color w:val="auto"/>
        </w:rPr>
        <w:t>Lead Arranger</w:t>
      </w:r>
      <w:r>
        <w:rPr>
          <w:rFonts w:ascii="Arial" w:cs="Arial" w:eastAsia="Arial" w:hAnsi="Arial"/>
          <w:sz w:val="18"/>
          <w:szCs w:val="18"/>
          <w:color w:val="auto"/>
        </w:rPr>
        <w:t xml:space="preserve">”), </w:t>
      </w: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 national banking association, as book runner (in such capacity, together with its successors and assigns in such capacity, the “</w:t>
      </w:r>
      <w:r>
        <w:rPr>
          <w:rFonts w:ascii="Arial" w:cs="Arial" w:eastAsia="Arial" w:hAnsi="Arial"/>
          <w:sz w:val="18"/>
          <w:szCs w:val="18"/>
          <w:u w:val="single" w:color="auto"/>
          <w:color w:val="auto"/>
        </w:rPr>
        <w:t>Book Runner</w:t>
      </w:r>
      <w:r>
        <w:rPr>
          <w:rFonts w:ascii="Arial" w:cs="Arial" w:eastAsia="Arial" w:hAnsi="Arial"/>
          <w:sz w:val="18"/>
          <w:szCs w:val="18"/>
          <w:color w:val="auto"/>
        </w:rPr>
        <w:t xml:space="preserve">”), </w:t>
      </w:r>
      <w:r>
        <w:rPr>
          <w:rFonts w:ascii="Arial" w:cs="Arial" w:eastAsia="Arial" w:hAnsi="Arial"/>
          <w:sz w:val="18"/>
          <w:szCs w:val="18"/>
          <w:b w:val="1"/>
          <w:bCs w:val="1"/>
          <w:color w:val="auto"/>
        </w:rPr>
        <w:t>AERSALE HOLDINGS,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color w:val="auto"/>
        </w:rPr>
        <w:t>AERSALE, INC.</w:t>
      </w:r>
      <w:r>
        <w:rPr>
          <w:rFonts w:ascii="Arial" w:cs="Arial" w:eastAsia="Arial" w:hAnsi="Arial"/>
          <w:sz w:val="18"/>
          <w:szCs w:val="18"/>
          <w:color w:val="auto"/>
        </w:rPr>
        <w:t>, a Florida corporation (“</w:t>
      </w:r>
      <w:r>
        <w:rPr>
          <w:rFonts w:ascii="Arial" w:cs="Arial" w:eastAsia="Arial" w:hAnsi="Arial"/>
          <w:sz w:val="18"/>
          <w:szCs w:val="18"/>
          <w:u w:val="single" w:color="auto"/>
          <w:color w:val="auto"/>
        </w:rPr>
        <w:t>AerSale</w:t>
      </w:r>
      <w:r>
        <w:rPr>
          <w:rFonts w:ascii="Arial" w:cs="Arial" w:eastAsia="Arial" w:hAnsi="Arial"/>
          <w:sz w:val="18"/>
          <w:szCs w:val="18"/>
          <w:color w:val="auto"/>
        </w:rPr>
        <w:t xml:space="preserve">”), the Subsidiaries of AerSale identified on the signature pages hereof as “Borrowers”, and those additional entities that hereafter become parties hereto as Borrowers in accordance with the terms hereof by executing the form of Joinder attached hereto as </w:t>
      </w:r>
      <w:r>
        <w:rPr>
          <w:rFonts w:ascii="Arial" w:cs="Arial" w:eastAsia="Arial" w:hAnsi="Arial"/>
          <w:sz w:val="18"/>
          <w:szCs w:val="18"/>
          <w:u w:val="single" w:color="auto"/>
          <w:color w:val="auto"/>
        </w:rPr>
        <w:t>Exhibit J-1</w:t>
      </w:r>
      <w:r>
        <w:rPr>
          <w:rFonts w:ascii="Arial" w:cs="Arial" w:eastAsia="Arial" w:hAnsi="Arial"/>
          <w:sz w:val="18"/>
          <w:szCs w:val="18"/>
          <w:color w:val="auto"/>
        </w:rPr>
        <w:t xml:space="preserve"> (AerSale and such Subsidiaries and other entities, each, a “</w:t>
      </w:r>
      <w:r>
        <w:rPr>
          <w:rFonts w:ascii="Arial" w:cs="Arial" w:eastAsia="Arial" w:hAnsi="Arial"/>
          <w:sz w:val="18"/>
          <w:szCs w:val="18"/>
          <w:u w:val="single" w:color="auto"/>
          <w:color w:val="auto"/>
        </w:rPr>
        <w:t>Borrower</w:t>
      </w:r>
      <w:r>
        <w:rPr>
          <w:rFonts w:ascii="Arial" w:cs="Arial" w:eastAsia="Arial" w:hAnsi="Arial"/>
          <w:sz w:val="18"/>
          <w:szCs w:val="18"/>
          <w:color w:val="auto"/>
        </w:rPr>
        <w:t>” and individually and collectively, jointly and severally, the “</w:t>
      </w:r>
      <w:r>
        <w:rPr>
          <w:rFonts w:ascii="Arial" w:cs="Arial" w:eastAsia="Arial" w:hAnsi="Arial"/>
          <w:sz w:val="18"/>
          <w:szCs w:val="18"/>
          <w:u w:val="single" w:color="auto"/>
          <w:color w:val="auto"/>
        </w:rPr>
        <w:t>Borrowers</w:t>
      </w:r>
      <w:r>
        <w:rPr>
          <w:rFonts w:ascii="Arial" w:cs="Arial" w:eastAsia="Arial" w:hAnsi="Arial"/>
          <w:sz w:val="18"/>
          <w:szCs w:val="18"/>
          <w:color w:val="auto"/>
        </w:rPr>
        <w:t>”).</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Borrowers, Agent and certain lenders are party to that certain Credit Agreement dated as of April 11, 2011 (as amended, the “</w:t>
      </w:r>
      <w:r>
        <w:rPr>
          <w:rFonts w:ascii="Arial" w:cs="Arial" w:eastAsia="Arial" w:hAnsi="Arial"/>
          <w:sz w:val="18"/>
          <w:szCs w:val="18"/>
          <w:u w:val="single" w:color="auto"/>
          <w:color w:val="auto"/>
        </w:rPr>
        <w:t>Existing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parties hereto wish to completely amend, restate and modify (but not extinguish) the Existing Credit Agreement through the execution of this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Administrative Borrower has requested, and Agent and Lenders have agreed, to make available to Borrowers, certain revolving and term credit facilities upon and subject to the terms and conditions set forth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agree as follows:</w:t>
      </w:r>
    </w:p>
    <w:p>
      <w:pPr>
        <w:spacing w:after="0" w:line="221" w:lineRule="exact"/>
        <w:rPr>
          <w:sz w:val="20"/>
          <w:szCs w:val="20"/>
          <w:color w:val="auto"/>
        </w:rPr>
      </w:pPr>
    </w:p>
    <w:p>
      <w:pPr>
        <w:ind w:left="720" w:hanging="712"/>
        <w:spacing w:after="0"/>
        <w:tabs>
          <w:tab w:leader="none" w:pos="720" w:val="left"/>
        </w:tabs>
        <w:numPr>
          <w:ilvl w:val="0"/>
          <w:numId w:val="32"/>
        </w:numPr>
        <w:rPr>
          <w:rFonts w:ascii="Arial" w:cs="Arial" w:eastAsia="Arial" w:hAnsi="Arial"/>
          <w:sz w:val="18"/>
          <w:szCs w:val="18"/>
          <w:color w:val="010000"/>
        </w:rPr>
      </w:pPr>
      <w:r>
        <w:rPr>
          <w:rFonts w:ascii="Arial" w:cs="Arial" w:eastAsia="Arial" w:hAnsi="Arial"/>
          <w:sz w:val="18"/>
          <w:szCs w:val="18"/>
          <w:b w:val="1"/>
          <w:bCs w:val="1"/>
          <w:color w:val="auto"/>
        </w:rPr>
        <w:t>DEFINITIONS AND CONSTRUCTION.</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010000"/>
        </w:rPr>
        <w:t>1.1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in this Agreement, the following terms shall have the following definitions: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Acceptable Appraisal</w:t>
      </w:r>
      <w:r>
        <w:rPr>
          <w:rFonts w:ascii="Arial" w:cs="Arial" w:eastAsia="Arial" w:hAnsi="Arial"/>
          <w:sz w:val="17"/>
          <w:szCs w:val="17"/>
          <w:color w:val="auto"/>
        </w:rPr>
        <w:t>” means, with respect to an appraisal of Whole Aircraft, Whole Engines or Parts, the most recent appraisal of such property received by Agent (a) from an internationally recognized firm of independent aircraft appraisers satisfactory to Agent in its Permitted Discretion (which includes Sage-Popovich, Inc.), (b) the scope and methodology (including, to the extent relevant, any sampling procedure employed by such appraisal company) of which are reasonably consistent with those of the appraisals most recently delivered to Agent prior to the Closing Date or are otherwise agreed to by Agent in its Permitted Discretion and (c) prepared on the basis of customary market practices and procedures and any relevant guidelines and the code of ethics established by the International Society of Transport Aircraft Traders.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an account (as that term is defined in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who is obligated on an Account, chattel paper, or a general intangible.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Party</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2.11(h)</w:t>
      </w:r>
      <w:r>
        <w:rPr>
          <w:rFonts w:ascii="Arial" w:cs="Arial" w:eastAsia="Arial" w:hAnsi="Arial"/>
          <w:sz w:val="18"/>
          <w:szCs w:val="18"/>
          <w:color w:val="auto"/>
        </w:rPr>
        <w:t xml:space="preserve"> of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Change</w:t>
      </w:r>
      <w:r>
        <w:rPr>
          <w:rFonts w:ascii="Arial" w:cs="Arial" w:eastAsia="Arial" w:hAnsi="Arial"/>
          <w:sz w:val="18"/>
          <w:szCs w:val="18"/>
          <w:color w:val="auto"/>
        </w:rPr>
        <w:t>” means a change in accounting principles required by the promulgation of any rule, regulation, pronouncement or opinion by the Financial Accounting Standards Board of the American Institute of Certified Public Accountants (or successor thereto or any agency with similar functions).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Indebtedness</w:t>
      </w:r>
      <w:r>
        <w:rPr>
          <w:rFonts w:ascii="Arial" w:cs="Arial" w:eastAsia="Arial" w:hAnsi="Arial"/>
          <w:sz w:val="18"/>
          <w:szCs w:val="18"/>
          <w:color w:val="auto"/>
        </w:rPr>
        <w:t xml:space="preserve">” means Indebtedness of a Person whose assets or Equity Interests are acquired by a Loan Party or any of its Subsidiaries in a Permitted Acquisition with respect to which the Payment Conditions are satisfied; </w:t>
      </w:r>
      <w:r>
        <w:rPr>
          <w:rFonts w:ascii="Arial" w:cs="Arial" w:eastAsia="Arial" w:hAnsi="Arial"/>
          <w:sz w:val="18"/>
          <w:szCs w:val="18"/>
          <w:u w:val="single" w:color="auto"/>
          <w:color w:val="auto"/>
        </w:rPr>
        <w:t>provided</w:t>
      </w:r>
      <w:r>
        <w:rPr>
          <w:rFonts w:ascii="Arial" w:cs="Arial" w:eastAsia="Arial" w:hAnsi="Arial"/>
          <w:sz w:val="18"/>
          <w:szCs w:val="18"/>
          <w:color w:val="auto"/>
        </w:rPr>
        <w:t>, that such Indebtedness was not incurred in connection with, or in contemplation of, such Permitted Acquisition.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 the purchase or other acquisition by a Person or its Subsidiaries of all or substantially all of the assets of (or any division or business line of) any other Person, or (b) the purchase or other acquisition (whether by means of a merger, consolidation, or otherwise) by a Person or its Subsidiaries of all of the Equity Interests of any other Person.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Borrower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17.13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13.1(a)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as applied to any Person, any other Person who controls, is controlled by, or is under common control with, such Person. For purposes of this definition, “control” means the possession, directly or indirectly through one or more intermediaries, of the power to direct the management and policies of a Person, whether through the ownership of Equity Interests, by contract,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the definition of Eligible Accounts and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of this Agreement: (a) if any Person owns directly or indirectly 10% or more of the Equity Interests having ordinary voting power for the election of directors or other members of the governing body of a Person or 10% or more of the partnership or other ownership interests of a Person (other than as a limited partner of such Person) then both such Persons shall be deemed Affiliates of each other, (b) each director (or comparable manager) of a Person shall be deemed to be an Affiliate of such Person, and (c) each partnership in which a Person is a general partner shall be deemed an Affiliate of such Person.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has the meaning specified therefor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Persons</w:t>
      </w:r>
      <w:r>
        <w:rPr>
          <w:rFonts w:ascii="Arial" w:cs="Arial" w:eastAsia="Arial" w:hAnsi="Arial"/>
          <w:sz w:val="18"/>
          <w:szCs w:val="18"/>
          <w:color w:val="auto"/>
        </w:rPr>
        <w:t>” means Agent, together with its Affiliates, officers, directors, employees, attorneys, and agents.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Account</w:t>
      </w:r>
      <w:r>
        <w:rPr>
          <w:rFonts w:ascii="Arial" w:cs="Arial" w:eastAsia="Arial" w:hAnsi="Arial"/>
          <w:sz w:val="18"/>
          <w:szCs w:val="18"/>
          <w:color w:val="auto"/>
        </w:rPr>
        <w:t xml:space="preserve">” means the Deposit Account of Agent identified on </w:t>
      </w:r>
      <w:r>
        <w:rPr>
          <w:rFonts w:ascii="Arial" w:cs="Arial" w:eastAsia="Arial" w:hAnsi="Arial"/>
          <w:sz w:val="18"/>
          <w:szCs w:val="18"/>
          <w:u w:val="single" w:color="auto"/>
          <w:color w:val="auto"/>
        </w:rPr>
        <w:t>Schedule A-1</w:t>
      </w:r>
      <w:r>
        <w:rPr>
          <w:rFonts w:ascii="Arial" w:cs="Arial" w:eastAsia="Arial" w:hAnsi="Arial"/>
          <w:sz w:val="18"/>
          <w:szCs w:val="18"/>
          <w:color w:val="auto"/>
        </w:rPr>
        <w:t xml:space="preserve"> to this Agreement (or such other Deposit Account of Agent that has been designated as such, in writing, by Agent to Borrowers and the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Agent’s Liens</w:t>
      </w:r>
      <w:r>
        <w:rPr>
          <w:rFonts w:ascii="Arial" w:cs="Arial" w:eastAsia="Arial" w:hAnsi="Arial"/>
          <w:sz w:val="16"/>
          <w:szCs w:val="16"/>
          <w:color w:val="auto"/>
        </w:rPr>
        <w:t>” means the Liens granted by each Loan Party or its Subsidiaries to Agent under the Loan Documents and securing the Obligations.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Amended and Restated Credit Agreement, as amended, restated, amended and restated, supplemented or otherwise modified from time to time.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 Mortgage</w:t>
      </w:r>
      <w:r>
        <w:rPr>
          <w:rFonts w:ascii="Arial" w:cs="Arial" w:eastAsia="Arial" w:hAnsi="Arial"/>
          <w:sz w:val="18"/>
          <w:szCs w:val="18"/>
          <w:color w:val="auto"/>
        </w:rPr>
        <w:t>” means each Aircraft Mortgage and Security Agreement entered into and delivered, at any time, by any Borrower or any trustee or guarantor for the benefit of any Borrower in respect of any Whole Aircraft.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 Reserves</w:t>
      </w:r>
      <w:r>
        <w:rPr>
          <w:rFonts w:ascii="Arial" w:cs="Arial" w:eastAsia="Arial" w:hAnsi="Arial"/>
          <w:sz w:val="18"/>
          <w:szCs w:val="18"/>
          <w:color w:val="auto"/>
        </w:rPr>
        <w:t xml:space="preserve">” means, as of any date of determination, (a) Landlord Reserves in respect of Whole Aircraft, and (b) those reserves that Agent deems necessary or appropriate, in its Permitted Discretion and subject to </w:t>
      </w:r>
      <w:r>
        <w:rPr>
          <w:rFonts w:ascii="Arial" w:cs="Arial" w:eastAsia="Arial" w:hAnsi="Arial"/>
          <w:sz w:val="18"/>
          <w:szCs w:val="18"/>
          <w:u w:val="single" w:color="auto"/>
          <w:color w:val="auto"/>
        </w:rPr>
        <w:t>Section 2.1(c)</w:t>
      </w:r>
      <w:r>
        <w:rPr>
          <w:rFonts w:ascii="Arial" w:cs="Arial" w:eastAsia="Arial" w:hAnsi="Arial"/>
          <w:sz w:val="18"/>
          <w:szCs w:val="18"/>
          <w:color w:val="auto"/>
        </w:rPr>
        <w:t>, to establish and maintain with respect to Eligible Whole Aircraft Collateral, including based on the results of appraisals.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FCPA, the U.K. Bribery Act of 2010, as amended, and all other applicable laws and regulations or ordinances concerning or relating to bribery, money laundering or corruption in any jurisdiction in which any Loan Party or any of its Subsidiaries or Affiliates is located or is doing business.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 in the case of a Base Rate Loan which is a Revolving Loan, 2.50% (the “</w:t>
      </w:r>
      <w:r>
        <w:rPr>
          <w:rFonts w:ascii="Arial" w:cs="Arial" w:eastAsia="Arial" w:hAnsi="Arial"/>
          <w:sz w:val="18"/>
          <w:szCs w:val="18"/>
          <w:u w:val="single" w:color="auto"/>
          <w:color w:val="auto"/>
        </w:rPr>
        <w:t>Revolving Loan Base Rate Margin</w:t>
      </w:r>
      <w:r>
        <w:rPr>
          <w:rFonts w:ascii="Arial" w:cs="Arial" w:eastAsia="Arial" w:hAnsi="Arial"/>
          <w:sz w:val="18"/>
          <w:szCs w:val="18"/>
          <w:color w:val="auto"/>
        </w:rPr>
        <w:t>”) and (b) in the case of a LIBOR Rate Loan which is a Revolving Loan, 3.50% (the “</w:t>
      </w:r>
      <w:r>
        <w:rPr>
          <w:rFonts w:ascii="Arial" w:cs="Arial" w:eastAsia="Arial" w:hAnsi="Arial"/>
          <w:sz w:val="18"/>
          <w:szCs w:val="18"/>
          <w:u w:val="single" w:color="auto"/>
          <w:color w:val="auto"/>
        </w:rPr>
        <w:t>Revolving Loan LIBOR Rate Margin</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 Event</w:t>
      </w:r>
      <w:r>
        <w:rPr>
          <w:rFonts w:ascii="Arial" w:cs="Arial" w:eastAsia="Arial" w:hAnsi="Arial"/>
          <w:sz w:val="18"/>
          <w:szCs w:val="18"/>
          <w:color w:val="auto"/>
        </w:rPr>
        <w:t xml:space="preserve">” means the occurrence of (a) a failure by Borrowers to repay all of the Obligations in full on the Maturity Date, or (b) an Event of Default and the election by Agent or the Required Lenders to require that payments and proceeds of Collateral be applied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2.4(b)(iii)</w:t>
      </w:r>
      <w:r>
        <w:rPr>
          <w:rFonts w:ascii="Arial" w:cs="Arial" w:eastAsia="Arial" w:hAnsi="Arial"/>
          <w:sz w:val="18"/>
          <w:szCs w:val="18"/>
          <w:color w:val="auto"/>
        </w:rPr>
        <w:t xml:space="preserve">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13.1(a)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Acceptance</w:t>
      </w:r>
      <w:r>
        <w:rPr>
          <w:rFonts w:ascii="Arial" w:cs="Arial" w:eastAsia="Arial" w:hAnsi="Arial"/>
          <w:sz w:val="17"/>
          <w:szCs w:val="17"/>
          <w:color w:val="auto"/>
        </w:rPr>
        <w:t xml:space="preserve">” means an Assignment and Acceptance Agreement substantially in the form of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to this Agreement.</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Person</w:t>
      </w:r>
      <w:r>
        <w:rPr>
          <w:rFonts w:ascii="Arial" w:cs="Arial" w:eastAsia="Arial" w:hAnsi="Arial"/>
          <w:sz w:val="18"/>
          <w:szCs w:val="18"/>
          <w:color w:val="auto"/>
        </w:rPr>
        <w:t xml:space="preserve">” means any one of the individuals identified as an officer of a Borrower on </w:t>
      </w:r>
      <w:r>
        <w:rPr>
          <w:rFonts w:ascii="Arial" w:cs="Arial" w:eastAsia="Arial" w:hAnsi="Arial"/>
          <w:sz w:val="18"/>
          <w:szCs w:val="18"/>
          <w:u w:val="single" w:color="auto"/>
          <w:color w:val="auto"/>
        </w:rPr>
        <w:t>Schedule A-2</w:t>
      </w:r>
      <w:r>
        <w:rPr>
          <w:rFonts w:ascii="Arial" w:cs="Arial" w:eastAsia="Arial" w:hAnsi="Arial"/>
          <w:sz w:val="18"/>
          <w:szCs w:val="18"/>
          <w:color w:val="auto"/>
        </w:rPr>
        <w:t xml:space="preserve"> to this Agreement, or any other individual identified by Administrative Borrower as an authorized person and authenticated through Agent’s electronic platform or portal in accordance with its procedures for such authentication.</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means, as of any date of determination, the amount that Borrowers are entitled to borrow as Revolving Loans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this Agreement (after giving effect to the then outstanding Revolver Usage).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Excess Availability</w:t>
      </w:r>
      <w:r>
        <w:rPr>
          <w:rFonts w:ascii="Arial" w:cs="Arial" w:eastAsia="Arial" w:hAnsi="Arial"/>
          <w:sz w:val="18"/>
          <w:szCs w:val="18"/>
          <w:color w:val="auto"/>
        </w:rPr>
        <w:t>” means, with respect to any period, the sum of the aggregate amount of Excess Availability for each day in such period (as calculated by Agent as of the end of each respective day) divided by the number of days in such period.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Revolver Usage</w:t>
      </w:r>
      <w:r>
        <w:rPr>
          <w:rFonts w:ascii="Arial" w:cs="Arial" w:eastAsia="Arial" w:hAnsi="Arial"/>
          <w:sz w:val="18"/>
          <w:szCs w:val="18"/>
          <w:color w:val="auto"/>
        </w:rPr>
        <w:t>” means, with respect to any period, the sum of the aggregate amount of Revolver Usage for each day in such period (calculated as of the end of each respective day) divided by the number of days in such period.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w:t>
      </w:r>
      <w:r>
        <w:rPr>
          <w:rFonts w:ascii="Arial" w:cs="Arial" w:eastAsia="Arial" w:hAnsi="Arial"/>
          <w:sz w:val="18"/>
          <w:szCs w:val="18"/>
          <w:color w:val="auto"/>
        </w:rPr>
        <w:t>” means any one or more of the following financial products or accommodations extended to any Loan Party or any of its Subsidiaries by a Bank Product Provider: (a) credit cards (including commercial cards (including so-called “purchase cards”, “procurement cards” or “p-cards”)), (b) payment card processing services, (c) debit cards, (d) stored value cards, (e) Cash Management Services, or (f) transactions under Hedge Agreements.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Agreements</w:t>
      </w:r>
      <w:r>
        <w:rPr>
          <w:rFonts w:ascii="Arial" w:cs="Arial" w:eastAsia="Arial" w:hAnsi="Arial"/>
          <w:sz w:val="18"/>
          <w:szCs w:val="18"/>
          <w:color w:val="auto"/>
        </w:rPr>
        <w:t>” means those agreements entered into from time to time by any Loan Party or any of its Subsidiaries with a Bank Product Provider in connection with the obtaining of any of the Bank Products.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Collateralization</w:t>
      </w:r>
      <w:r>
        <w:rPr>
          <w:rFonts w:ascii="Arial" w:cs="Arial" w:eastAsia="Arial" w:hAnsi="Arial"/>
          <w:sz w:val="18"/>
          <w:szCs w:val="18"/>
          <w:color w:val="auto"/>
        </w:rPr>
        <w:t>” means providing cash collateral (pursuant to documentation reasonably satisfactory to Agent) to be held by Agent for the benefit of the Bank Product Providers (other than the Hedge Providers) in an amount determined by Agent as sufficient to satisfy the reasonably estimated credit exposure, operational risk or processing risk with respect to the then existing Bank Product Obligations (other than Hedge Obligations).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Obligations</w:t>
      </w:r>
      <w:r>
        <w:rPr>
          <w:rFonts w:ascii="Arial" w:cs="Arial" w:eastAsia="Arial" w:hAnsi="Arial"/>
          <w:sz w:val="18"/>
          <w:szCs w:val="18"/>
          <w:color w:val="auto"/>
        </w:rPr>
        <w:t>” means (a) all obligations, liabilities, reimbursement obligations, fees, or expenses owing by each Loan Party and its Subsidiaries to any Bank Product Provider pursuant to or evidenced by a Bank Product Agreement and irrespective of whether for the payment of money, whether direct or indirect, absolute or contingent, due or to become due, now existing or hereafter arising, (b) all Hedge Obligations, and (c) all amounts that Agent or any Lender is obligated to pay to a Bank Product Provider as a result of Agent or such Lender purchasing participations from, or executing guarantees or indemnities or reimbursement obligations to, a Bank Product Provider with respect to the Bank Products provided by such Bank Product Provider to a Loan Party or its Subsidiaries.</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Product Provider</w:t>
      </w:r>
      <w:r>
        <w:rPr>
          <w:rFonts w:ascii="Arial" w:cs="Arial" w:eastAsia="Arial" w:hAnsi="Arial"/>
          <w:sz w:val="17"/>
          <w:szCs w:val="17"/>
          <w:color w:val="auto"/>
        </w:rPr>
        <w:t xml:space="preserve">” means any Lender or any of its Affiliates, including each of the foregoing in its capacity, if applicable, as a Hedge Provider;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Person (other than Wells Fargo or its Affiliates) shall constitute a Bank Product Provider with respect to a Bank Product unless and until Agent receives a Bank Product Provider Agreement from such Person (a) on or prior to the Closing Date (or such later date as Agent shall agree to in writing in its sole discretion) with respect to Bank Products provided on or prior to the Closing Date, or (b) on or prior to the date that is 10 days after the provision of such Bank Product to a Loan Party or its Subsidiaries (or such later date as Agent shall agree to in writing in its sole discretion) with respect to Bank Products provided after the Closing Date;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at any time, a Lender ceases to be a Lender under this Agreement (prior to the payment in full of the Obligations), then, from and after the date on which it so ceases to be a Lender thereunder, neither it nor any of its Affiliates shall constitute Bank Product Providers and the obligations with respect to Bank Products provided by such former Lender or any of its Affiliates shall no longer constitute Bank Product Obligations.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Product Provider Agreement</w:t>
      </w:r>
      <w:r>
        <w:rPr>
          <w:rFonts w:ascii="Arial" w:cs="Arial" w:eastAsia="Arial" w:hAnsi="Arial"/>
          <w:sz w:val="17"/>
          <w:szCs w:val="17"/>
          <w:color w:val="auto"/>
        </w:rPr>
        <w:t xml:space="preserve">” means an agreement in substantially the form attached hereto as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to this Agreement, in form and substance reasonably satisfactory to Agent, duly executed by the applicable Bank Product Provider, the applicable Loan Parties, and Agent.</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Reserves</w:t>
      </w:r>
      <w:r>
        <w:rPr>
          <w:rFonts w:ascii="Arial" w:cs="Arial" w:eastAsia="Arial" w:hAnsi="Arial"/>
          <w:sz w:val="18"/>
          <w:szCs w:val="18"/>
          <w:color w:val="auto"/>
        </w:rPr>
        <w:t>” means, as of any date of determination, those reserves that Agent deems necessary or appropriate to establish (based upon the Bank Product Providers’ determination of the liabilities and obligations of each Loan Party and its Subsidiaries in respect of Bank Product Obligations) in respect of Bank Products then provided or outstanding.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as in effect from time to time.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means the greatest of (a) the Federal Funds Rate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½%, (b) the LIBOR Rate (which rate shall be calculated based upon an Interest Period of one month and shall be determined on a daily basis),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one percentage point, and (c) the rate of interest announced, from time to time, within Wells Fargo at its principal office in San Francisco as its “prime rate”,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 (and, if any such announced rate is below zero, then the rate determined pursuant to this clause (c) shall be deemed to be zero).</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each portion of the Revolving Loans that bears interest at a rate determined by reference to the Base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Margin</w:t>
      </w:r>
      <w:r>
        <w:rPr>
          <w:rFonts w:ascii="Arial" w:cs="Arial" w:eastAsia="Arial" w:hAnsi="Arial"/>
          <w:sz w:val="18"/>
          <w:szCs w:val="18"/>
          <w:color w:val="auto"/>
        </w:rPr>
        <w:t>” means the Revolving Loan Base Rate Margin.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as to any Person, the board of directors (or comparable managers) of such Person, or any committee thereof duly authorized to act on behalf of the board of directors (or comparable managers).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 of the United States (or any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 Runner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have the respective meanings specified therefor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17.9(c)</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borrowing consisting of Revolving Loans made on the same day by the Lenders (or Agent on behalf thereof), or by Swing Lender in the case of a Swing Loan, or by Agent in the case of an Extraordinary Advance.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means, as of any date of determination, the result of:</w:t>
      </w:r>
    </w:p>
    <w:p>
      <w:pPr>
        <w:spacing w:after="0" w:line="225" w:lineRule="exact"/>
        <w:rPr>
          <w:sz w:val="20"/>
          <w:szCs w:val="20"/>
          <w:color w:val="auto"/>
        </w:rPr>
      </w:pPr>
    </w:p>
    <w:p>
      <w:pPr>
        <w:ind w:left="2000" w:hanging="696"/>
        <w:spacing w:after="0"/>
        <w:tabs>
          <w:tab w:leader="none" w:pos="2000"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 xml:space="preserve">85% of the amount of Eligible Accounts,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amount, if any, of the Dilution Reserve, </w:t>
      </w:r>
      <w:r>
        <w:rPr>
          <w:rFonts w:ascii="Arial" w:cs="Arial" w:eastAsia="Arial" w:hAnsi="Arial"/>
          <w:sz w:val="18"/>
          <w:szCs w:val="18"/>
          <w:i w:val="1"/>
          <w:iCs w:val="1"/>
          <w:u w:val="single" w:color="auto"/>
          <w:color w:val="auto"/>
        </w:rPr>
        <w:t>plus</w:t>
      </w:r>
    </w:p>
    <w:p>
      <w:pPr>
        <w:spacing w:after="0" w:line="225" w:lineRule="exact"/>
        <w:rPr>
          <w:rFonts w:ascii="Arial" w:cs="Arial" w:eastAsia="Arial" w:hAnsi="Arial"/>
          <w:sz w:val="18"/>
          <w:szCs w:val="18"/>
          <w:color w:val="010000"/>
        </w:rPr>
      </w:pPr>
    </w:p>
    <w:p>
      <w:pPr>
        <w:ind w:left="2000" w:hanging="696"/>
        <w:spacing w:after="0"/>
        <w:tabs>
          <w:tab w:leader="none" w:pos="2000"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the lesser of</w:t>
      </w:r>
    </w:p>
    <w:p>
      <w:pPr>
        <w:spacing w:after="0" w:line="225" w:lineRule="exact"/>
        <w:rPr>
          <w:rFonts w:ascii="Arial" w:cs="Arial" w:eastAsia="Arial" w:hAnsi="Arial"/>
          <w:sz w:val="18"/>
          <w:szCs w:val="18"/>
          <w:color w:val="010000"/>
        </w:rPr>
      </w:pPr>
    </w:p>
    <w:p>
      <w:pPr>
        <w:ind w:left="2660" w:hanging="708"/>
        <w:spacing w:after="0"/>
        <w:tabs>
          <w:tab w:leader="none" w:pos="2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$30,000,000, and</w:t>
      </w:r>
    </w:p>
    <w:p>
      <w:pPr>
        <w:spacing w:after="0" w:line="225" w:lineRule="exact"/>
        <w:rPr>
          <w:rFonts w:ascii="Arial" w:cs="Arial" w:eastAsia="Arial" w:hAnsi="Arial"/>
          <w:sz w:val="18"/>
          <w:szCs w:val="18"/>
          <w:color w:val="auto"/>
        </w:rPr>
      </w:pPr>
    </w:p>
    <w:p>
      <w:pPr>
        <w:ind w:firstLine="1952"/>
        <w:spacing w:after="0" w:line="277" w:lineRule="auto"/>
        <w:tabs>
          <w:tab w:leader="none" w:pos="2739"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the product of 35% multiplied by the NOLV of Eligible Whole Aircraft Collateral as such NOLV is identified in the most recent Acceptable Appraisal of Whole Aircraft at such time, </w:t>
      </w:r>
      <w:r>
        <w:rPr>
          <w:rFonts w:ascii="Arial" w:cs="Arial" w:eastAsia="Arial" w:hAnsi="Arial"/>
          <w:sz w:val="18"/>
          <w:szCs w:val="18"/>
          <w:i w:val="1"/>
          <w:iCs w:val="1"/>
          <w:u w:val="single" w:color="auto"/>
          <w:color w:val="auto"/>
        </w:rPr>
        <w:t>plus</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the least of</w:t>
      </w:r>
    </w:p>
    <w:p>
      <w:pPr>
        <w:spacing w:after="0" w:line="225" w:lineRule="exact"/>
        <w:rPr>
          <w:rFonts w:ascii="Arial" w:cs="Arial" w:eastAsia="Arial" w:hAnsi="Arial"/>
          <w:sz w:val="18"/>
          <w:szCs w:val="18"/>
          <w:color w:val="010000"/>
        </w:rPr>
      </w:pPr>
    </w:p>
    <w:p>
      <w:pPr>
        <w:ind w:left="2660" w:hanging="708"/>
        <w:spacing w:after="0"/>
        <w:tabs>
          <w:tab w:leader="none" w:pos="2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product of 65% multiplied by the NOLV of Eligible Parts at such time,</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gross book costs of Eligible Parts at such time, and</w:t>
      </w:r>
    </w:p>
    <w:p>
      <w:pPr>
        <w:spacing w:after="0" w:line="225" w:lineRule="exact"/>
        <w:rPr>
          <w:rFonts w:ascii="Arial" w:cs="Arial" w:eastAsia="Arial" w:hAnsi="Arial"/>
          <w:sz w:val="18"/>
          <w:szCs w:val="18"/>
          <w:color w:val="auto"/>
        </w:rPr>
      </w:pPr>
    </w:p>
    <w:p>
      <w:pPr>
        <w:ind w:left="2680" w:hanging="728"/>
        <w:spacing w:after="0"/>
        <w:tabs>
          <w:tab w:leader="none" w:pos="26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the product of 50% multiplied by the Maximum Revolver Amount, </w:t>
      </w:r>
      <w:r>
        <w:rPr>
          <w:rFonts w:ascii="Arial" w:cs="Arial" w:eastAsia="Arial" w:hAnsi="Arial"/>
          <w:sz w:val="18"/>
          <w:szCs w:val="18"/>
          <w:i w:val="1"/>
          <w:iCs w:val="1"/>
          <w:u w:val="single" w:color="auto"/>
          <w:color w:val="auto"/>
        </w:rPr>
        <w:t>plus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ind w:right="20" w:firstLine="1304"/>
        <w:spacing w:after="0" w:line="277" w:lineRule="auto"/>
        <w:tabs>
          <w:tab w:leader="none" w:pos="2041"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 xml:space="preserve">the product of 65% multiplied by the NOLV of Eligible Whole Engine Collateral (other than Eligible Off-Lease Whole Engine Collateral) as such NOLV is identified in the most recent Acceptable Appraisal of Whole Engines at such time, </w:t>
      </w:r>
      <w:r>
        <w:rPr>
          <w:rFonts w:ascii="Arial" w:cs="Arial" w:eastAsia="Arial" w:hAnsi="Arial"/>
          <w:sz w:val="18"/>
          <w:szCs w:val="18"/>
          <w:i w:val="1"/>
          <w:iCs w:val="1"/>
          <w:u w:val="single" w:color="auto"/>
          <w:color w:val="auto"/>
        </w:rPr>
        <w:t>plus</w:t>
      </w:r>
    </w:p>
    <w:p>
      <w:pPr>
        <w:spacing w:after="0" w:line="170" w:lineRule="exact"/>
        <w:rPr>
          <w:rFonts w:ascii="Arial" w:cs="Arial" w:eastAsia="Arial" w:hAnsi="Arial"/>
          <w:sz w:val="18"/>
          <w:szCs w:val="18"/>
          <w:color w:val="010000"/>
        </w:rPr>
      </w:pPr>
    </w:p>
    <w:p>
      <w:pPr>
        <w:ind w:left="2000" w:hanging="696"/>
        <w:spacing w:after="0"/>
        <w:tabs>
          <w:tab w:leader="none" w:pos="2000"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the lesser of</w:t>
      </w:r>
    </w:p>
    <w:p>
      <w:pPr>
        <w:spacing w:after="0" w:line="225" w:lineRule="exact"/>
        <w:rPr>
          <w:rFonts w:ascii="Arial" w:cs="Arial" w:eastAsia="Arial" w:hAnsi="Arial"/>
          <w:sz w:val="18"/>
          <w:szCs w:val="18"/>
          <w:color w:val="010000"/>
        </w:rPr>
      </w:pPr>
    </w:p>
    <w:p>
      <w:pPr>
        <w:ind w:left="2660" w:hanging="708"/>
        <w:spacing w:after="0"/>
        <w:tabs>
          <w:tab w:leader="none" w:pos="2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$7,500,000, and</w:t>
      </w:r>
    </w:p>
    <w:p>
      <w:pPr>
        <w:spacing w:after="0" w:line="225" w:lineRule="exact"/>
        <w:rPr>
          <w:rFonts w:ascii="Arial" w:cs="Arial" w:eastAsia="Arial" w:hAnsi="Arial"/>
          <w:sz w:val="18"/>
          <w:szCs w:val="18"/>
          <w:color w:val="auto"/>
        </w:rPr>
      </w:pPr>
    </w:p>
    <w:p>
      <w:pPr>
        <w:ind w:firstLine="1952"/>
        <w:spacing w:after="0" w:line="277" w:lineRule="auto"/>
        <w:tabs>
          <w:tab w:leader="none" w:pos="2928"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the product of 65% multiplied by the NOLV of Eligible Off-Lease Whole Engine Collateral as such NOLV is identified in the most recent Acceptable Appraisal of Whole Engines at such time, </w:t>
      </w:r>
      <w:r>
        <w:rPr>
          <w:rFonts w:ascii="Arial" w:cs="Arial" w:eastAsia="Arial" w:hAnsi="Arial"/>
          <w:sz w:val="18"/>
          <w:szCs w:val="18"/>
          <w:i w:val="1"/>
          <w:iCs w:val="1"/>
          <w:u w:val="single" w:color="auto"/>
          <w:color w:val="auto"/>
        </w:rPr>
        <w:t>minus</w:t>
      </w:r>
    </w:p>
    <w:p>
      <w:pPr>
        <w:spacing w:after="0" w:line="170" w:lineRule="exact"/>
        <w:rPr>
          <w:rFonts w:ascii="Arial" w:cs="Arial" w:eastAsia="Arial" w:hAnsi="Arial"/>
          <w:sz w:val="18"/>
          <w:szCs w:val="18"/>
          <w:color w:val="auto"/>
        </w:rPr>
      </w:pPr>
    </w:p>
    <w:p>
      <w:pPr>
        <w:ind w:left="2020" w:hanging="716"/>
        <w:spacing w:after="0"/>
        <w:tabs>
          <w:tab w:leader="none" w:pos="2020"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 xml:space="preserve">the Conditional Fixed Charge Coverage Ratio Availability Block, </w:t>
      </w:r>
      <w:r>
        <w:rPr>
          <w:rFonts w:ascii="Arial" w:cs="Arial" w:eastAsia="Arial" w:hAnsi="Arial"/>
          <w:sz w:val="18"/>
          <w:szCs w:val="18"/>
          <w:i w:val="1"/>
          <w:iCs w:val="1"/>
          <w:u w:val="single" w:color="auto"/>
          <w:color w:val="auto"/>
        </w:rPr>
        <w:t>minus</w:t>
      </w:r>
    </w:p>
    <w:p>
      <w:pPr>
        <w:spacing w:after="0" w:line="225" w:lineRule="exact"/>
        <w:rPr>
          <w:rFonts w:ascii="Arial" w:cs="Arial" w:eastAsia="Arial" w:hAnsi="Arial"/>
          <w:sz w:val="18"/>
          <w:szCs w:val="18"/>
          <w:color w:val="010000"/>
        </w:rPr>
      </w:pPr>
    </w:p>
    <w:p>
      <w:pPr>
        <w:ind w:left="2000" w:hanging="696"/>
        <w:spacing w:after="0"/>
        <w:tabs>
          <w:tab w:leader="none" w:pos="2000" w:val="left"/>
        </w:tabs>
        <w:numPr>
          <w:ilvl w:val="0"/>
          <w:numId w:val="34"/>
        </w:numPr>
        <w:rPr>
          <w:rFonts w:ascii="Arial" w:cs="Arial" w:eastAsia="Arial" w:hAnsi="Arial"/>
          <w:sz w:val="17"/>
          <w:szCs w:val="17"/>
          <w:color w:val="010000"/>
        </w:rPr>
      </w:pPr>
      <w:r>
        <w:rPr>
          <w:rFonts w:ascii="Arial" w:cs="Arial" w:eastAsia="Arial" w:hAnsi="Arial"/>
          <w:sz w:val="17"/>
          <w:szCs w:val="17"/>
          <w:color w:val="auto"/>
        </w:rPr>
        <w:t xml:space="preserve">the aggregate amount of Reserves, if any, established by Agent from time to time under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of this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to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banks are authorized or required to close in the state of New York, except that, if a determination of a Business Day shall relate to a LIBOR Rate Loan, the term “Business Day” also shall exclude any day on which banks are closed for dealings in Dollar deposits in the London interbank market.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 Town Convention</w:t>
      </w:r>
      <w:r>
        <w:rPr>
          <w:rFonts w:ascii="Arial" w:cs="Arial" w:eastAsia="Arial" w:hAnsi="Arial"/>
          <w:sz w:val="18"/>
          <w:szCs w:val="18"/>
          <w:color w:val="auto"/>
        </w:rPr>
        <w:t>” means the Convention and the Protocol.</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means, with respect to any Person for any period, the amount of all expenditures by such Person and its Subsidiaries during such period that are capital expenditures as determined in accordance with GAAP, whether such expenditures are paid in cash or financed, but excluding, without duplication, (a) with respect to the purchase price of assets that are purchased substantially contemporaneously with the trade-in of existing assets during such period, the amount that the gross amount of such purchase price is reduced by the credit granted by the seller of such assets for the assets being traded in at such time, and (b) expenditures made during such period to consummate one or more Permitted Acquisitions.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Lease Obligation</w:t>
      </w:r>
      <w:r>
        <w:rPr>
          <w:rFonts w:ascii="Arial" w:cs="Arial" w:eastAsia="Arial" w:hAnsi="Arial"/>
          <w:sz w:val="16"/>
          <w:szCs w:val="16"/>
          <w:color w:val="auto"/>
        </w:rPr>
        <w:t>” means that portion of the obligations under a Capital Lease that is required to be capitalized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that is required to be capitalized for financial reporting purposes in accordance with GAAP.</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means (a) marketable direct obligations issued by, or unconditionally guaranteed by, the United States or issued by any agency thereof and backed by the full faith and credit of the United States, in each case maturing within one year from the date of acquisition thereof, (b) marketable direct obligations issued or fully guaranteed by any state of the United States or any political subdivision of any such state or any public instrumentality thereof maturing within one year from the date of acquisition thereof and, at the time of acquisition, having one of the two highest ratings obtainable from either Standard &amp; Poor’s Rating Group (“</w:t>
      </w:r>
      <w:r>
        <w:rPr>
          <w:rFonts w:ascii="Arial" w:cs="Arial" w:eastAsia="Arial" w:hAnsi="Arial"/>
          <w:sz w:val="17"/>
          <w:szCs w:val="17"/>
          <w:u w:val="single" w:color="auto"/>
          <w:color w:val="auto"/>
        </w:rPr>
        <w:t>S&amp;P</w:t>
      </w:r>
      <w:r>
        <w:rPr>
          <w:rFonts w:ascii="Arial" w:cs="Arial" w:eastAsia="Arial" w:hAnsi="Arial"/>
          <w:sz w:val="17"/>
          <w:szCs w:val="17"/>
          <w:color w:val="auto"/>
        </w:rPr>
        <w:t>”) or Moody’s Investors Service, Inc. (“</w:t>
      </w:r>
      <w:r>
        <w:rPr>
          <w:rFonts w:ascii="Arial" w:cs="Arial" w:eastAsia="Arial" w:hAnsi="Arial"/>
          <w:sz w:val="17"/>
          <w:szCs w:val="17"/>
          <w:u w:val="single" w:color="auto"/>
          <w:color w:val="auto"/>
        </w:rPr>
        <w:t>Moody’s</w:t>
      </w:r>
      <w:r>
        <w:rPr>
          <w:rFonts w:ascii="Arial" w:cs="Arial" w:eastAsia="Arial" w:hAnsi="Arial"/>
          <w:sz w:val="17"/>
          <w:szCs w:val="17"/>
          <w:color w:val="auto"/>
        </w:rPr>
        <w:t>”),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of not less than $1,000,000,000, (e) Deposit Accounts maintained with (i) any bank that satisfies the criteria described in clause (d) 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clause (d) of this definition or of any recognized securities dealer having combined capital and surplus of not less than $1,000,000,000, having a term of not more than seven days, with respect to securities satisfying the criteria in clauses (a) or (d) above, (g) debt securities with maturities of six months or less from the date of acquisition backed by standby letters of credit issued by any commercial bank satisfying the criteria described in clause (d) above, and (h) Investments in money market funds substantially all of whose assets are invested in the types of assets described in clauses (a) through (g) above.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means any cash management or related services including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and other cash management arrangements.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(as that term is defined in the IRC) in which any Loan Party is a “United States shareholder” within the meaning of Section 951(b) of the IRC.</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or (c) the making or issuance by any Governmental Authority of any request, rule, guideline or directive, whether or not having the force of law;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anything in this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w:t>
      </w:r>
      <w:r>
        <w:rPr>
          <w:rFonts w:ascii="Arial" w:cs="Arial" w:eastAsia="Arial" w:hAnsi="Arial"/>
          <w:sz w:val="17"/>
          <w:szCs w:val="17"/>
          <w:u w:val="single" w:color="auto"/>
          <w:color w:val="auto"/>
        </w:rPr>
        <w:t>Change in Law</w:t>
      </w:r>
      <w:r>
        <w:rPr>
          <w:rFonts w:ascii="Arial" w:cs="Arial" w:eastAsia="Arial" w:hAnsi="Arial"/>
          <w:sz w:val="17"/>
          <w:szCs w:val="17"/>
          <w:color w:val="auto"/>
        </w:rPr>
        <w:t>,” regardless of the date enacted, adopted or issued.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that:</w:t>
      </w:r>
    </w:p>
    <w:p>
      <w:pPr>
        <w:spacing w:after="0" w:line="225" w:lineRule="exact"/>
        <w:rPr>
          <w:sz w:val="20"/>
          <w:szCs w:val="20"/>
          <w:color w:val="auto"/>
        </w:rPr>
      </w:pPr>
    </w:p>
    <w:p>
      <w:pPr>
        <w:jc w:val="both"/>
        <w:ind w:firstLine="1304"/>
        <w:spacing w:after="0" w:line="259" w:lineRule="auto"/>
        <w:tabs>
          <w:tab w:leader="none" w:pos="19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a Qualifying IPO, Permitted Holders fail to own and control, directly or indirectly, 51%, or more, of the Equity Interests of Parent entitled (without regard to the occurrence of any contingency) to vote for the election of members of the Board of Directors of Parent, to be determined on a fully diluted basis and taking into account any outstanding Equity Interests or contract rights exercisable, exchangeable or convertible into Equity Interests,</w:t>
      </w:r>
    </w:p>
    <w:p>
      <w:pPr>
        <w:spacing w:after="0" w:line="186" w:lineRule="exact"/>
        <w:rPr>
          <w:rFonts w:ascii="Arial" w:cs="Arial" w:eastAsia="Arial" w:hAnsi="Arial"/>
          <w:sz w:val="18"/>
          <w:szCs w:val="18"/>
          <w:color w:val="auto"/>
        </w:rPr>
      </w:pPr>
    </w:p>
    <w:p>
      <w:pPr>
        <w:ind w:left="2000" w:hanging="696"/>
        <w:spacing w:after="0"/>
        <w:tabs>
          <w:tab w:leader="none" w:pos="2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or after a Qualifying IPO, any “person” or “group” (within the meaning of</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Sections 13(d) and 14(d) of the Exchange Act), other than Permitted Holders, becomes the beneficial owner (as defined in Rule 13d-3 under the Exchange Act), directly or indirectly, of 20%, or more, of the Equity Interests of Parent entitled (without regard to the occurrence of any contingency) to vote for the election of members of the Board of Directors of Parent, to be determined on a fully diluted basis and taking into account any outstanding Equity Interests or contract rights exercisable, exchangeable or convertible into Equity Interests, or</w:t>
      </w:r>
    </w:p>
    <w:p>
      <w:pPr>
        <w:spacing w:after="0" w:line="187" w:lineRule="exact"/>
        <w:rPr>
          <w:sz w:val="20"/>
          <w:szCs w:val="20"/>
          <w:color w:val="auto"/>
        </w:rPr>
      </w:pPr>
    </w:p>
    <w:p>
      <w:pPr>
        <w:jc w:val="both"/>
        <w:ind w:firstLine="1304"/>
        <w:spacing w:after="0" w:line="263" w:lineRule="auto"/>
        <w:tabs>
          <w:tab w:leader="none" w:pos="19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Parent fails to own and control, directly or indirectly, 100% of the Equity Interests of each other Loan Party (other than pursuant to a disposition of 100% of the Equity Interests of a Loan Party permitted in accordance with the provisions of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this Agreement which results in such Person being released as a Loan Party in accordance with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making of the initial Loans (or other extensions of credit) under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New York Uniform Commercial Code, as in effect from time to time.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assets and interests in assets and proceeds thereof now owned or hereafter acquired by any Loan Party or its Subsidiaries in or upon which a Lien is granted by such Person in favor of Agent or the Lenders under any of the Loan Documents.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Access Agreement</w:t>
      </w:r>
      <w:r>
        <w:rPr>
          <w:rFonts w:ascii="Arial" w:cs="Arial" w:eastAsia="Arial" w:hAnsi="Arial"/>
          <w:sz w:val="18"/>
          <w:szCs w:val="18"/>
          <w:color w:val="auto"/>
        </w:rPr>
        <w:t>” means a landlord waiver, bailee letter, or acknowledgement agreement of any lessor, warehouseman, processor, consignee, or other Person in possession of, having a Lien upon, or having rights or interests in any Loan Party’s or its Subsidiaries’ books and records, Equipment, or Inventory, in each case, in form and substance reasonably satisfactory to Agent.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Collections</w:t>
      </w:r>
      <w:r>
        <w:rPr>
          <w:rFonts w:ascii="Arial" w:cs="Arial" w:eastAsia="Arial" w:hAnsi="Arial"/>
          <w:sz w:val="18"/>
          <w:szCs w:val="18"/>
          <w:color w:val="auto"/>
        </w:rPr>
        <w:t>” means, all cash, checks, notes, instruments, and other items of payment (including insurance proceeds, cash proceeds of asset sales, rental proceeds and tax refunds).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Lender, its Revolver Commitment and, with respect to all Lenders, their Revolver Commitments, in each case as such Dollar amounts are set forth beside such Lender’s name under the applicable heading on </w:t>
      </w:r>
      <w:r>
        <w:rPr>
          <w:rFonts w:ascii="Arial" w:cs="Arial" w:eastAsia="Arial" w:hAnsi="Arial"/>
          <w:sz w:val="17"/>
          <w:szCs w:val="17"/>
          <w:u w:val="single" w:color="auto"/>
          <w:color w:val="auto"/>
        </w:rPr>
        <w:t>Schedule C-1</w:t>
      </w:r>
      <w:r>
        <w:rPr>
          <w:rFonts w:ascii="Arial" w:cs="Arial" w:eastAsia="Arial" w:hAnsi="Arial"/>
          <w:sz w:val="17"/>
          <w:szCs w:val="17"/>
          <w:color w:val="auto"/>
        </w:rPr>
        <w:t xml:space="preserve"> to this Agreement or in the Assignment and Acceptance pursuant to which such Lender became a Lender under this Agreement, as such amounts may be reduced or increased from time to time pursuant to assignments made in accordance with the provisions of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of this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24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Compliance Certificate</w:t>
      </w:r>
      <w:r>
        <w:rPr>
          <w:rFonts w:ascii="Arial" w:cs="Arial" w:eastAsia="Arial" w:hAnsi="Arial"/>
          <w:sz w:val="16"/>
          <w:szCs w:val="16"/>
          <w:color w:val="auto"/>
        </w:rPr>
        <w:t xml:space="preserve">” means a certificate substantially in the form of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to this Agreement delivered by the senior vice president of finance, vice president of finance, chief financial officer or treasurer of Administrative Borrower to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of the Closing Date, Agent is conducting due diligence on the senior vice president of finance and vice president of finance, and such officers shall only be permitted to execute and deliver a Compliance Certificate in satisfaction of the requirements hereunder upon Agent’s satisfactory completion of such due diligence.</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Conditional Fixed Charge Coverage Ratio Availability Block</w:t>
      </w:r>
      <w:r>
        <w:rPr>
          <w:rFonts w:ascii="Arial" w:cs="Arial" w:eastAsia="Arial" w:hAnsi="Arial"/>
          <w:sz w:val="18"/>
          <w:szCs w:val="18"/>
          <w:color w:val="auto"/>
        </w:rPr>
        <w:t xml:space="preserve">” means if at any time Fixed Charge Coverage Ratio is less than 1.50 to 1.00, then $7,500,000;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Conditional Fixed Charge Coverage Ratio Availability Block shall be reduced to $0 on the date on which Administrative Borrower provides a Compliance Certificate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for the most recently ended fiscal quarter of Borrowers demonstrating that Fixed Charge Coverage Ratio for the four quarter fiscal period then ending is equal to or greater than 1.50 to 1.00, and shall remain $0 unless and until Fixed Charge Coverage Ratio is less than 1.50 to 1.00 at a later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17.9(a)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Agreement</w:t>
      </w:r>
      <w:r>
        <w:rPr>
          <w:rFonts w:ascii="Arial" w:cs="Arial" w:eastAsia="Arial" w:hAnsi="Arial"/>
          <w:sz w:val="18"/>
          <w:szCs w:val="18"/>
          <w:color w:val="auto"/>
        </w:rPr>
        <w:t>” means a control agreement, in form and substance reasonably satisfactory to Agent, executed and delivered by a Loan Party or one of its Subsidiaries, Agent, and the applicable securities intermediary (with respect to a Securities Account) or bank (with respect to a Deposit Account).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Convention</w:t>
      </w:r>
      <w:r>
        <w:rPr>
          <w:rFonts w:ascii="Arial" w:cs="Arial" w:eastAsia="Arial" w:hAnsi="Arial"/>
          <w:sz w:val="18"/>
          <w:szCs w:val="18"/>
          <w:color w:val="auto"/>
        </w:rPr>
        <w:t>” means The Convention on International Interests in Mobile Equipment, concluded in Cape Town, South Africa, on November 16, 2001 (utilizing the English-language version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Security Agreement</w:t>
      </w:r>
      <w:r>
        <w:rPr>
          <w:rFonts w:ascii="Arial" w:cs="Arial" w:eastAsia="Arial" w:hAnsi="Arial"/>
          <w:sz w:val="18"/>
          <w:szCs w:val="18"/>
          <w:color w:val="auto"/>
        </w:rPr>
        <w:t>” has the meaning specified therefor in the Guaranty and Security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Curative Equity</w:t>
      </w:r>
      <w:r>
        <w:rPr>
          <w:rFonts w:ascii="Arial" w:cs="Arial" w:eastAsia="Arial" w:hAnsi="Arial"/>
          <w:sz w:val="18"/>
          <w:szCs w:val="18"/>
          <w:color w:val="auto"/>
        </w:rPr>
        <w:t xml:space="preserve">” means the common equity contributions made by Sponsor to Parent in immediately available funds which Parent contributes as additional common equity contributions to Borrowers in immediately available funds and which is designated “Curative Equity” by Borrowers under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this Agreement at the time it is contributed. For the avoidance of doubt, the forgiveness of antecedent debt (whether Indebtedness, trade payables, or otherwise) shall not constitute Curative Equity.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an event, condition, or default that, with the giving of notice, the passage of time, or both, would be an Event of Default.</w:t>
      </w:r>
    </w:p>
    <w:p>
      <w:pPr>
        <w:spacing w:after="0" w:line="23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to (i) fund all or any portion of its Loans within two Business Days of the date such Loans were required to be funded hereunder unless such Lender notifies Agent and Administrative Borrower in writing that such failure is the result of such Lender’s determination that one or more conditions precedent to funding (each of which conditions precedent, together with any applicable Default or Event of Default, shall be specifically identified in such writing) has not been satisfied, or (ii) pay to Agent, Issuing Bank, or any other Lender any other amount required to be paid by it hereunder (including in respect of its participation in Letters of Credit) within two Business Days of the date when due, (b) has notified any Borrower, Agent or Issuing Bank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or Event of Default, shall be specifically identified in such writing or public statement) cannot be satisfied), (c) has failed, within three Business Days after written request by Agent or Administrative Borrower, to confirm in writing to Agent and Administrative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Agent and Administrative Borrower), or (d) has, or has a direct or indirect parent company that has, (i) become the subject of any Insolvency Proceeding,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Lender shall be deemed to be a Defaulting Lender upon delivery of written notice of such determination to Administrative Borrower, Issuing Bank, and each Lender.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 Rate</w:t>
      </w:r>
      <w:r>
        <w:rPr>
          <w:rFonts w:ascii="Arial" w:cs="Arial" w:eastAsia="Arial" w:hAnsi="Arial"/>
          <w:sz w:val="17"/>
          <w:szCs w:val="17"/>
          <w:color w:val="auto"/>
        </w:rPr>
        <w:t>” means (a) for the first three days from and after the date the relevant payment is due, the Base Rate, and (b) thereafter, the interest rate then applicable to Revolving Loans that are Base Rate Loans (inclusive of the Base Rate Margin applicable thereto).</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any deposit account (as that term is defined in the Code).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Account</w:t>
      </w:r>
      <w:r>
        <w:rPr>
          <w:rFonts w:ascii="Arial" w:cs="Arial" w:eastAsia="Arial" w:hAnsi="Arial"/>
          <w:sz w:val="16"/>
          <w:szCs w:val="16"/>
          <w:color w:val="auto"/>
        </w:rPr>
        <w:t xml:space="preserve">” means the Deposit Account of Administrative Borrower identified on </w:t>
      </w:r>
      <w:r>
        <w:rPr>
          <w:rFonts w:ascii="Arial" w:cs="Arial" w:eastAsia="Arial" w:hAnsi="Arial"/>
          <w:sz w:val="16"/>
          <w:szCs w:val="16"/>
          <w:u w:val="single" w:color="auto"/>
          <w:color w:val="auto"/>
        </w:rPr>
        <w:t>Schedule D-1</w:t>
      </w:r>
      <w:r>
        <w:rPr>
          <w:rFonts w:ascii="Arial" w:cs="Arial" w:eastAsia="Arial" w:hAnsi="Arial"/>
          <w:sz w:val="16"/>
          <w:szCs w:val="16"/>
          <w:color w:val="auto"/>
        </w:rPr>
        <w:t xml:space="preserve"> to this Agreement (or such other Deposit Account of Administrative Borrower located at Designated Account Bank that has been designated as such, in writing, by Borrowers to Agent).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Account Bank</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Schedule D-1</w:t>
      </w:r>
      <w:r>
        <w:rPr>
          <w:rFonts w:ascii="Arial" w:cs="Arial" w:eastAsia="Arial" w:hAnsi="Arial"/>
          <w:sz w:val="18"/>
          <w:szCs w:val="18"/>
          <w:color w:val="auto"/>
        </w:rPr>
        <w:t xml:space="preserve"> to this Agreement (or such other bank that is located within the United States that has been designated as such, in writing, by Borrowers to Agent).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w:t>
      </w:r>
      <w:r>
        <w:rPr>
          <w:rFonts w:ascii="Arial" w:cs="Arial" w:eastAsia="Arial" w:hAnsi="Arial"/>
          <w:sz w:val="18"/>
          <w:szCs w:val="18"/>
          <w:color w:val="auto"/>
        </w:rPr>
        <w:t>” means, as of any date of determination, a percentage, based upon the experience of the immediately prior 12 months, that is the result of dividing the Dollar amount of (a) bad debt write-downs, discounts, advertising allowances, credits, or other dilutive items with respect to Borrowers’ Accounts during such period, by (b) Borrowers’ billings with respect to Accounts during such period.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Reserve</w:t>
      </w:r>
      <w:r>
        <w:rPr>
          <w:rFonts w:ascii="Arial" w:cs="Arial" w:eastAsia="Arial" w:hAnsi="Arial"/>
          <w:sz w:val="18"/>
          <w:szCs w:val="18"/>
          <w:color w:val="auto"/>
        </w:rPr>
        <w:t>” means, as of any date of determination, an amount sufficient to reduce the advance rate against Eligible Accounts by the extent to which Dilution is in excess of 5%.</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Equity Interests</w:t>
      </w:r>
      <w:r>
        <w:rPr>
          <w:rFonts w:ascii="Arial" w:cs="Arial" w:eastAsia="Arial" w:hAnsi="Arial"/>
          <w:sz w:val="17"/>
          <w:szCs w:val="17"/>
          <w:color w:val="auto"/>
        </w:rPr>
        <w:t>” means any Equity Interests that, by their terms (or by the terms of any security or other Equity Interests into which they are convertible or for which they are exchangeable), or upon the happening of any event or condition (a) matures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in whole or in part, (c) provide for the scheduled payments of dividends in cash, or (d) are or become convertible into or exchangeable for Indebtedness or any other Equity Interests that would constitute Disqualified Equity Interests, in each case, prior to the date that is 180 days after the Maturity Date.</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w:t>
      </w:r>
      <w:r>
        <w:rPr>
          <w:rFonts w:ascii="Arial" w:cs="Arial" w:eastAsia="Arial" w:hAnsi="Arial"/>
          <w:sz w:val="18"/>
          <w:szCs w:val="18"/>
          <w:color w:val="auto"/>
        </w:rPr>
        <w:t xml:space="preserve">” means, on any date, (a) any Person designated by Administrative Borrower as a “Disqualified Institution” by written notice delivered to Agent prior to the date hereof, and (b) those Persons who are direct competitors of the Borrowers identified in writing by Administrative Borrower to Agent from time to time, subject to the written consent of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“Disqualified Institutions” shall exclude any Person that Administrative Borrower has designated as no longer being a “Disqualified Institution” by written notice delivered to Agent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connection with any assignment or participation, the Assignee or Participant with respect to such proposed assignment or participation that is an investment bank, a commercial bank, a finance company, a fund, or other Person which merely has an economic interest in any such direct competitor, and is not itself such a direct competitor of Borrower or its Subsidiaries, shall not be deemed to be a Disqualified Institution for the purposes of this definition.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United States dollars.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of any Loan Party that is not a Foreign Subsidiary.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Drawing Document</w:t>
      </w:r>
      <w:r>
        <w:rPr>
          <w:rFonts w:ascii="Arial" w:cs="Arial" w:eastAsia="Arial" w:hAnsi="Arial"/>
          <w:sz w:val="18"/>
          <w:szCs w:val="18"/>
          <w:color w:val="auto"/>
        </w:rPr>
        <w:t>” means any Letter of Credit or other document presented for purposes of drawing under any Letter of Credit, including by electronic transmission such as SWIFT, electronic mail, facsimile or computer generated communication.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Earn-Outs</w:t>
      </w:r>
      <w:r>
        <w:rPr>
          <w:rFonts w:ascii="Arial" w:cs="Arial" w:eastAsia="Arial" w:hAnsi="Arial"/>
          <w:sz w:val="18"/>
          <w:szCs w:val="18"/>
          <w:color w:val="auto"/>
        </w:rPr>
        <w:t>” means unsecured liabilities of a Loan Party arising under an agreement to make any deferred payment as a part of the Purchase Price for a Permitted Acquisition with respect to which the Payment Conditions are satisfied, including performance bonuses or consulting payments in any related services, employment or similar agreement, in an amount that is subject to or contingent upon the revenues, income, cash flow or profits (or the like) of the target of such Permitted Acquisition.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EASA</w:t>
      </w:r>
      <w:r>
        <w:rPr>
          <w:rFonts w:ascii="Arial" w:cs="Arial" w:eastAsia="Arial" w:hAnsi="Arial"/>
          <w:sz w:val="18"/>
          <w:szCs w:val="18"/>
          <w:color w:val="auto"/>
        </w:rPr>
        <w:t>” means the European Aviation Safety Authority.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means, with respect to any fiscal period and with respect to Parent determined, in each case, on a consolidated basis in accordance with GAAP:</w:t>
      </w:r>
    </w:p>
    <w:p>
      <w:pPr>
        <w:spacing w:after="0" w:line="170" w:lineRule="exact"/>
        <w:rPr>
          <w:sz w:val="20"/>
          <w:szCs w:val="20"/>
          <w:color w:val="auto"/>
        </w:rPr>
      </w:pPr>
    </w:p>
    <w:p>
      <w:pPr>
        <w:jc w:val="both"/>
        <w:ind w:firstLine="1304"/>
        <w:spacing w:after="0" w:line="263" w:lineRule="auto"/>
        <w:tabs>
          <w:tab w:leader="none" w:pos="2071"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 xml:space="preserve">the consolidated net income (or loss), but excluding the income of any Unrestricted Subsidiary or joint venture (except to the extent of dividends or other distributions actually paid to Administrative Borrower and its consolidated Subsidiaries (other than any Unrestricted Subsidiary) by such Unrestricted Subsidiary or joint venture during such fiscal period), </w:t>
      </w:r>
      <w:r>
        <w:rPr>
          <w:rFonts w:ascii="Arial" w:cs="Arial" w:eastAsia="Arial" w:hAnsi="Arial"/>
          <w:sz w:val="18"/>
          <w:szCs w:val="18"/>
          <w:i w:val="1"/>
          <w:iCs w:val="1"/>
          <w:u w:val="single" w:color="auto"/>
          <w:color w:val="auto"/>
        </w:rPr>
        <w:t>minus</w:t>
      </w:r>
    </w:p>
    <w:p>
      <w:pPr>
        <w:spacing w:after="0" w:line="183" w:lineRule="exact"/>
        <w:rPr>
          <w:rFonts w:ascii="Arial" w:cs="Arial" w:eastAsia="Arial" w:hAnsi="Arial"/>
          <w:sz w:val="18"/>
          <w:szCs w:val="18"/>
          <w:color w:val="010000"/>
        </w:rPr>
      </w:pPr>
    </w:p>
    <w:p>
      <w:pPr>
        <w:ind w:firstLine="1304"/>
        <w:spacing w:after="0" w:line="277" w:lineRule="auto"/>
        <w:tabs>
          <w:tab w:leader="none" w:pos="2095"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without duplication, the sum of the following amounts for such period to the extent included in determining consolidated net income (or loss) for such period:</w:t>
      </w:r>
    </w:p>
    <w:p>
      <w:pPr>
        <w:spacing w:after="0" w:line="170" w:lineRule="exact"/>
        <w:rPr>
          <w:rFonts w:ascii="Arial" w:cs="Arial" w:eastAsia="Arial" w:hAnsi="Arial"/>
          <w:sz w:val="18"/>
          <w:szCs w:val="18"/>
          <w:color w:val="010000"/>
        </w:rPr>
      </w:pPr>
    </w:p>
    <w:p>
      <w:pPr>
        <w:ind w:left="2660" w:hanging="708"/>
        <w:spacing w:after="0"/>
        <w:tabs>
          <w:tab w:leader="none" w:pos="2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federal, state and local income tax credits,</w:t>
      </w:r>
    </w:p>
    <w:p>
      <w:pPr>
        <w:spacing w:after="0" w:line="225" w:lineRule="exact"/>
        <w:rPr>
          <w:rFonts w:ascii="Arial" w:cs="Arial" w:eastAsia="Arial" w:hAnsi="Arial"/>
          <w:sz w:val="18"/>
          <w:szCs w:val="18"/>
          <w:color w:val="auto"/>
        </w:rPr>
      </w:pPr>
    </w:p>
    <w:p>
      <w:pPr>
        <w:ind w:left="2680" w:hanging="728"/>
        <w:spacing w:after="0"/>
        <w:tabs>
          <w:tab w:leader="none" w:pos="26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extraordinary, unusual or non-recurring gains,</w:t>
      </w:r>
    </w:p>
    <w:p>
      <w:pPr>
        <w:spacing w:after="0" w:line="225" w:lineRule="exact"/>
        <w:rPr>
          <w:rFonts w:ascii="Arial" w:cs="Arial" w:eastAsia="Arial" w:hAnsi="Arial"/>
          <w:sz w:val="18"/>
          <w:szCs w:val="18"/>
          <w:color w:val="auto"/>
        </w:rPr>
      </w:pPr>
    </w:p>
    <w:p>
      <w:pPr>
        <w:ind w:firstLine="1952"/>
        <w:spacing w:after="0" w:line="277" w:lineRule="auto"/>
        <w:tabs>
          <w:tab w:leader="none" w:pos="2667" w:val="left"/>
        </w:tabs>
        <w:numPr>
          <w:ilvl w:val="1"/>
          <w:numId w:val="37"/>
        </w:numPr>
        <w:rPr>
          <w:rFonts w:ascii="Arial" w:cs="Arial" w:eastAsia="Arial" w:hAnsi="Arial"/>
          <w:sz w:val="18"/>
          <w:szCs w:val="18"/>
          <w:color w:val="auto"/>
        </w:rPr>
      </w:pPr>
      <w:r>
        <w:rPr>
          <w:rFonts w:ascii="Arial" w:cs="Arial" w:eastAsia="Arial" w:hAnsi="Arial"/>
          <w:sz w:val="18"/>
          <w:szCs w:val="18"/>
          <w:color w:val="auto"/>
        </w:rPr>
        <w:t>gains on sales, exchanges or other dispositions of fixed assets (other than gains on any sale, exchange or disposition of such assets in the ordinary course of business not constituting extraordinary gains),</w:t>
      </w:r>
    </w:p>
    <w:p>
      <w:pPr>
        <w:spacing w:after="0" w:line="170" w:lineRule="exact"/>
        <w:rPr>
          <w:rFonts w:ascii="Arial" w:cs="Arial" w:eastAsia="Arial" w:hAnsi="Arial"/>
          <w:sz w:val="18"/>
          <w:szCs w:val="18"/>
          <w:color w:val="auto"/>
        </w:rPr>
      </w:pPr>
    </w:p>
    <w:p>
      <w:pPr>
        <w:ind w:left="2660" w:hanging="708"/>
        <w:spacing w:after="0"/>
        <w:tabs>
          <w:tab w:leader="none" w:pos="2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any other non-cash income or gains, </w:t>
      </w:r>
      <w:r>
        <w:rPr>
          <w:rFonts w:ascii="Arial" w:cs="Arial" w:eastAsia="Arial" w:hAnsi="Arial"/>
          <w:sz w:val="18"/>
          <w:szCs w:val="18"/>
          <w:i w:val="1"/>
          <w:iCs w:val="1"/>
          <w:u w:val="single" w:color="auto"/>
          <w:color w:val="auto"/>
        </w:rPr>
        <w:t>plus</w:t>
      </w:r>
    </w:p>
    <w:p>
      <w:pPr>
        <w:spacing w:after="0" w:line="225" w:lineRule="exact"/>
        <w:rPr>
          <w:rFonts w:ascii="Arial" w:cs="Arial" w:eastAsia="Arial" w:hAnsi="Arial"/>
          <w:sz w:val="18"/>
          <w:szCs w:val="18"/>
          <w:color w:val="auto"/>
        </w:rPr>
      </w:pPr>
    </w:p>
    <w:p>
      <w:pPr>
        <w:ind w:right="20" w:firstLine="1304"/>
        <w:spacing w:after="0" w:line="277" w:lineRule="auto"/>
        <w:tabs>
          <w:tab w:leader="none" w:pos="2071"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without duplication, the sum of the following amounts for such period to the extent deducted in determining consolidated net income (or loss) for such period:</w:t>
      </w:r>
    </w:p>
    <w:p>
      <w:pPr>
        <w:spacing w:after="0" w:line="170" w:lineRule="exact"/>
        <w:rPr>
          <w:rFonts w:ascii="Arial" w:cs="Arial" w:eastAsia="Arial" w:hAnsi="Arial"/>
          <w:sz w:val="18"/>
          <w:szCs w:val="18"/>
          <w:color w:val="010000"/>
        </w:rPr>
      </w:pPr>
    </w:p>
    <w:p>
      <w:pPr>
        <w:ind w:left="2660" w:hanging="708"/>
        <w:spacing w:after="0"/>
        <w:tabs>
          <w:tab w:leader="none" w:pos="2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Interest Expense,</w:t>
      </w:r>
    </w:p>
    <w:p>
      <w:pPr>
        <w:spacing w:after="0" w:line="225" w:lineRule="exact"/>
        <w:rPr>
          <w:rFonts w:ascii="Arial" w:cs="Arial" w:eastAsia="Arial" w:hAnsi="Arial"/>
          <w:sz w:val="18"/>
          <w:szCs w:val="18"/>
          <w:color w:val="auto"/>
        </w:rPr>
      </w:pPr>
    </w:p>
    <w:p>
      <w:pPr>
        <w:ind w:right="20" w:firstLine="1952"/>
        <w:spacing w:after="0" w:line="277" w:lineRule="auto"/>
        <w:tabs>
          <w:tab w:leader="none" w:pos="2726" w:val="left"/>
        </w:tabs>
        <w:numPr>
          <w:ilvl w:val="1"/>
          <w:numId w:val="37"/>
        </w:numPr>
        <w:rPr>
          <w:rFonts w:ascii="Arial" w:cs="Arial" w:eastAsia="Arial" w:hAnsi="Arial"/>
          <w:sz w:val="18"/>
          <w:szCs w:val="18"/>
          <w:color w:val="auto"/>
        </w:rPr>
      </w:pPr>
      <w:r>
        <w:rPr>
          <w:rFonts w:ascii="Arial" w:cs="Arial" w:eastAsia="Arial" w:hAnsi="Arial"/>
          <w:sz w:val="18"/>
          <w:szCs w:val="18"/>
          <w:color w:val="auto"/>
        </w:rPr>
        <w:t>tax expense based on income, profits or capital, including federal, foreign, state, franchise and similar Taxes (and for the avoidance of doubt, specifically excluding any sales Taxes or any other Taxes held in trust for a Governmental Authority),</w:t>
      </w:r>
    </w:p>
    <w:p>
      <w:pPr>
        <w:spacing w:after="0" w:line="170" w:lineRule="exact"/>
        <w:rPr>
          <w:rFonts w:ascii="Arial" w:cs="Arial" w:eastAsia="Arial" w:hAnsi="Arial"/>
          <w:sz w:val="18"/>
          <w:szCs w:val="18"/>
          <w:color w:val="auto"/>
        </w:rPr>
      </w:pPr>
    </w:p>
    <w:p>
      <w:pPr>
        <w:ind w:left="2680" w:hanging="728"/>
        <w:spacing w:after="0"/>
        <w:tabs>
          <w:tab w:leader="none" w:pos="26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depreciation and amortization,</w:t>
      </w:r>
    </w:p>
    <w:p>
      <w:pPr>
        <w:spacing w:after="0" w:line="225" w:lineRule="exact"/>
        <w:rPr>
          <w:rFonts w:ascii="Arial" w:cs="Arial" w:eastAsia="Arial" w:hAnsi="Arial"/>
          <w:sz w:val="18"/>
          <w:szCs w:val="18"/>
          <w:color w:val="auto"/>
        </w:rPr>
      </w:pPr>
    </w:p>
    <w:p>
      <w:pPr>
        <w:ind w:firstLine="1952"/>
        <w:spacing w:after="0" w:line="277" w:lineRule="auto"/>
        <w:tabs>
          <w:tab w:leader="none" w:pos="273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extraordinary, unusual or non-recurring losses (subject, with respect to any cash losses relating to the foregoing, the limitations set forth in clause (xi) below);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jc w:val="both"/>
        <w:ind w:right="20" w:firstLine="1952"/>
        <w:spacing w:after="0" w:line="259" w:lineRule="auto"/>
        <w:tabs>
          <w:tab w:leader="none" w:pos="2648"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non-cash losses on sales, exchanges or other dispositions of fixed assets (other than losses on the any sale, exchange or disposition of such assets in the ordinary course of business not constituting extraordinary losses) ; </w:t>
      </w:r>
      <w:r>
        <w:rPr>
          <w:rFonts w:ascii="Arial" w:cs="Arial" w:eastAsia="Arial" w:hAnsi="Arial"/>
          <w:sz w:val="18"/>
          <w:szCs w:val="18"/>
          <w:u w:val="single" w:color="auto"/>
          <w:color w:val="auto"/>
        </w:rPr>
        <w:t>provided</w:t>
      </w:r>
      <w:r>
        <w:rPr>
          <w:rFonts w:ascii="Arial" w:cs="Arial" w:eastAsia="Arial" w:hAnsi="Arial"/>
          <w:sz w:val="18"/>
          <w:szCs w:val="18"/>
          <w:color w:val="auto"/>
        </w:rPr>
        <w:t>, that to the extent any non-cash item added back to EBITDA in any period results in a cash payment in such period or a subsequent period, such cash payment shall result in a reduction of EBITDA in the period when such payment is made,</w:t>
      </w:r>
    </w:p>
    <w:p>
      <w:pPr>
        <w:spacing w:after="0" w:line="186" w:lineRule="exact"/>
        <w:rPr>
          <w:rFonts w:ascii="Arial" w:cs="Arial" w:eastAsia="Arial" w:hAnsi="Arial"/>
          <w:sz w:val="18"/>
          <w:szCs w:val="18"/>
          <w:color w:val="auto"/>
        </w:rPr>
      </w:pPr>
    </w:p>
    <w:p>
      <w:pPr>
        <w:ind w:left="2680" w:hanging="728"/>
        <w:spacing w:after="0"/>
        <w:tabs>
          <w:tab w:leader="none" w:pos="26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any other non-cash losses or expenses;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such non-cash losses or expenses referred to in this clause</w:t>
      </w:r>
    </w:p>
    <w:p>
      <w:pPr>
        <w:spacing w:after="0" w:line="46" w:lineRule="exact"/>
        <w:rPr>
          <w:rFonts w:ascii="Arial" w:cs="Arial" w:eastAsia="Arial" w:hAnsi="Arial"/>
          <w:sz w:val="16"/>
          <w:szCs w:val="16"/>
          <w:color w:val="auto"/>
        </w:rPr>
      </w:pPr>
    </w:p>
    <w:p>
      <w:pPr>
        <w:ind w:right="20" w:firstLine="8"/>
        <w:spacing w:after="0" w:line="260" w:lineRule="auto"/>
        <w:tabs>
          <w:tab w:leader="none" w:pos="3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 an accrual or reserve for potential cash items in any future period, the cash payment in respect thereof in such future period shall be deducted from EBITDA to such extent,</w:t>
      </w:r>
    </w:p>
    <w:p>
      <w:pPr>
        <w:spacing w:after="0" w:line="185" w:lineRule="exact"/>
        <w:rPr>
          <w:rFonts w:ascii="Arial" w:cs="Arial" w:eastAsia="Arial" w:hAnsi="Arial"/>
          <w:sz w:val="18"/>
          <w:szCs w:val="18"/>
          <w:color w:val="auto"/>
        </w:rPr>
      </w:pPr>
    </w:p>
    <w:p>
      <w:pPr>
        <w:jc w:val="both"/>
        <w:ind w:firstLine="1952"/>
        <w:spacing w:after="0" w:line="263" w:lineRule="auto"/>
        <w:tabs>
          <w:tab w:leader="none" w:pos="2955" w:val="left"/>
        </w:tabs>
        <w:numPr>
          <w:ilvl w:val="1"/>
          <w:numId w:val="39"/>
        </w:numPr>
        <w:rPr>
          <w:rFonts w:ascii="Arial" w:cs="Arial" w:eastAsia="Arial" w:hAnsi="Arial"/>
          <w:sz w:val="18"/>
          <w:szCs w:val="18"/>
          <w:color w:val="auto"/>
        </w:rPr>
      </w:pPr>
      <w:r>
        <w:rPr>
          <w:rFonts w:ascii="Arial" w:cs="Arial" w:eastAsia="Arial" w:hAnsi="Arial"/>
          <w:sz w:val="18"/>
          <w:szCs w:val="18"/>
          <w:color w:val="auto"/>
        </w:rPr>
        <w:t>with respect to the preparation, execution, delivery of this Agreement and the other Loan Documents, costs, reasonable fees to Persons (other than any Borrower, Sponsor or any of their Affiliates), charges, or expenses incurred in connection therewith prior to, on or within 180 days of the Closing Date,</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691" w:val="left"/>
        </w:tabs>
        <w:numPr>
          <w:ilvl w:val="1"/>
          <w:numId w:val="39"/>
        </w:numPr>
        <w:rPr>
          <w:rFonts w:ascii="Arial" w:cs="Arial" w:eastAsia="Arial" w:hAnsi="Arial"/>
          <w:sz w:val="18"/>
          <w:szCs w:val="18"/>
          <w:color w:val="auto"/>
        </w:rPr>
      </w:pPr>
      <w:r>
        <w:rPr>
          <w:rFonts w:ascii="Arial" w:cs="Arial" w:eastAsia="Arial" w:hAnsi="Arial"/>
          <w:sz w:val="18"/>
          <w:szCs w:val="18"/>
          <w:color w:val="auto"/>
        </w:rPr>
        <w:t>items reducing net income to the extent covered by indemnification, refunding provisions or insurance (provided, that if such indemnification, refund or insurance proceeds are not received with respect to any such item within 90 days following such period, then such item shall be deducted from EBITDA), or paid or payable (directly or indirectly) by a Person that is not an Affiliate of the Loan Parties (except to the extent such payment gives rise to reimbursement obligations) or with the proceeds of a contribution to equity,</w:t>
      </w:r>
    </w:p>
    <w:p>
      <w:pPr>
        <w:spacing w:after="0" w:line="186" w:lineRule="exact"/>
        <w:rPr>
          <w:rFonts w:ascii="Arial" w:cs="Arial" w:eastAsia="Arial" w:hAnsi="Arial"/>
          <w:sz w:val="18"/>
          <w:szCs w:val="18"/>
          <w:color w:val="auto"/>
        </w:rPr>
      </w:pPr>
    </w:p>
    <w:p>
      <w:pPr>
        <w:jc w:val="both"/>
        <w:ind w:firstLine="1952"/>
        <w:spacing w:after="0" w:line="259" w:lineRule="auto"/>
        <w:tabs>
          <w:tab w:leader="none" w:pos="29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expenses, revenue and lost profits with respect to liability or casualty events or business interruption will be disregarded to the extent covered by insurance and actually reimbursed or, so long as such Person has made a good faith determination that there exists reasonable evidence that such amount will in fact be reimbursed by the insurer (provided, that if such insurance proceeds are not received with respect to any such item within 90 days following such period, then such item shall be deducted from EBITDA),</w:t>
      </w:r>
    </w:p>
    <w:p>
      <w:pPr>
        <w:spacing w:after="0" w:line="186" w:lineRule="exact"/>
        <w:rPr>
          <w:rFonts w:ascii="Arial" w:cs="Arial" w:eastAsia="Arial" w:hAnsi="Arial"/>
          <w:sz w:val="18"/>
          <w:szCs w:val="18"/>
          <w:color w:val="auto"/>
        </w:rPr>
      </w:pPr>
    </w:p>
    <w:p>
      <w:pPr>
        <w:ind w:firstLine="1952"/>
        <w:spacing w:after="0" w:line="277" w:lineRule="auto"/>
        <w:tabs>
          <w:tab w:leader="none" w:pos="2716"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amount of any non-controlling interest expense consisting of losses attributed to non-controlling interests of third parties in any non-wholly owned Subsidiaries of Parent,</w:t>
      </w:r>
    </w:p>
    <w:p>
      <w:pPr>
        <w:spacing w:after="0" w:line="170" w:lineRule="exact"/>
        <w:rPr>
          <w:rFonts w:ascii="Arial" w:cs="Arial" w:eastAsia="Arial" w:hAnsi="Arial"/>
          <w:sz w:val="18"/>
          <w:szCs w:val="18"/>
          <w:color w:val="auto"/>
        </w:rPr>
      </w:pPr>
    </w:p>
    <w:p>
      <w:pPr>
        <w:jc w:val="both"/>
        <w:ind w:firstLine="1952"/>
        <w:spacing w:after="0" w:line="283" w:lineRule="auto"/>
        <w:tabs>
          <w:tab w:leader="none" w:pos="2775"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the sum of (A) any extraordinary, unusual or non-recurring cash losses or cash expenses,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transaction fees, costs and expenses incurred in connection with transactions that are out of the ordinary course of business (including transactions proposed but not consummated) and permitted under this Agreement, including equity issuances, investments, acquisitions, dispositions, recapitalizations, mergers, option buyouts and the incurrence, modification or repayment of Indebtedness,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(C) the amount of any losses from abandoned, closed or discontinued operations or operations that are anticipated to become abandoned, closed or discontinued,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(D) cost-savings, operating expense reductions, restructuring charges and expenses and cost-saving synergies (collectively, “</w:t>
      </w:r>
      <w:r>
        <w:rPr>
          <w:rFonts w:ascii="Arial" w:cs="Arial" w:eastAsia="Arial" w:hAnsi="Arial"/>
          <w:sz w:val="16"/>
          <w:szCs w:val="16"/>
          <w:u w:val="single" w:color="auto"/>
          <w:color w:val="auto"/>
        </w:rPr>
        <w:t>Cost Savings</w:t>
      </w:r>
      <w:r>
        <w:rPr>
          <w:rFonts w:ascii="Arial" w:cs="Arial" w:eastAsia="Arial" w:hAnsi="Arial"/>
          <w:sz w:val="16"/>
          <w:szCs w:val="16"/>
          <w:color w:val="auto"/>
        </w:rPr>
        <w:t xml:space="preserve">”) projected by Borrowers in good faith to be realized as a result of any merger, acquisition, joint venture, material disposition taken or to be taken by the Borrowers or any of their Subsidiaries and permitted hereunder during such period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though such Cost-Savings had been realized on the first day of such period),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such Cost Savings are reasonably identifiable, reasonably attributable to the actions specified and reasonably anticipated to result from such actions and (2) such Cost Savings are commenced within 12 months of such actions and the benefits resulting from such actions are reasonably anticipated by the Borrowers to be realized within twelve (12) months of the date of consummation of such merger, acquisition, joint venture or material disposition;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(x) no items described in clauses (A) through (D) above may be added pursuant to this clause (xi) to the extent duplicative of any expenses or charges relating thereto that are either excluded in computing consolidated net income (or loss) or included (i.e. added back) in computing EBITDA for such period and (y) the aggregate amount of items added pursuant to this clause</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shall not exceed 15% of EBITDA for such period (calculated prior to giving effect to this clause (xi)), and</w:t>
      </w:r>
    </w:p>
    <w:p>
      <w:pPr>
        <w:spacing w:after="0" w:line="210" w:lineRule="exact"/>
        <w:rPr>
          <w:rFonts w:ascii="Arial" w:cs="Arial" w:eastAsia="Arial" w:hAnsi="Arial"/>
          <w:sz w:val="18"/>
          <w:szCs w:val="18"/>
          <w:color w:val="auto"/>
        </w:rPr>
      </w:pPr>
    </w:p>
    <w:p>
      <w:pPr>
        <w:ind w:left="2660" w:hanging="708"/>
        <w:spacing w:after="0"/>
        <w:tabs>
          <w:tab w:leader="none" w:pos="2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other adjustments agreed to by Agent in its sole discretion.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jc w:val="both"/>
        <w:spacing w:after="0" w:line="259" w:lineRule="auto"/>
        <w:rPr>
          <w:sz w:val="20"/>
          <w:szCs w:val="20"/>
          <w:color w:val="auto"/>
        </w:rPr>
      </w:pPr>
      <w:r>
        <w:rPr>
          <w:rFonts w:ascii="Arial" w:cs="Arial" w:eastAsia="Arial" w:hAnsi="Arial"/>
          <w:sz w:val="18"/>
          <w:szCs w:val="18"/>
          <w:color w:val="auto"/>
        </w:rPr>
        <w:t>Both (A) the effects of purchase accounting, fair value accounting or recapitalization accounting (including the effects of adjustments pushed down) and the amortization, write-down or write-off of any amounts thereof, so long as the transaction relating thereto is not prohibited by the terms of this Agreement or the other Loan Documents and (B) the cumulative effect of a change in accounting principles during such period will be excluded from the calculation of EBITDA.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purposes of calculating EBITDA for any period of four consecutive fiscal quarters (each, a “</w:t>
      </w:r>
      <w:r>
        <w:rPr>
          <w:rFonts w:ascii="Arial" w:cs="Arial" w:eastAsia="Arial" w:hAnsi="Arial"/>
          <w:sz w:val="18"/>
          <w:szCs w:val="18"/>
          <w:u w:val="single" w:color="auto"/>
          <w:color w:val="auto"/>
        </w:rPr>
        <w:t>Reference Period</w:t>
      </w:r>
      <w:r>
        <w:rPr>
          <w:rFonts w:ascii="Arial" w:cs="Arial" w:eastAsia="Arial" w:hAnsi="Arial"/>
          <w:sz w:val="18"/>
          <w:szCs w:val="18"/>
          <w:color w:val="auto"/>
        </w:rPr>
        <w:t xml:space="preserve">”), if at any time during such Reference Period (and after the Closing Date), any Loan Party or any of its Subsidiaries shall have made a Permitted Acquisition, EBITDA for such Reference Period shall be calculated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(including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adjustments arising out of events which are directly attributable to such Permitted Acquisition, are factually supportable, and are expected to have a continuing impact, in each case to be mutually and reasonably agreed upon by Borrowers and Agent) or in such other manner acceptable to Agent as if any such Permitted Acquisition or adjustment occurred on the first day of such Reference Period.</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firstLine="8"/>
        <w:spacing w:after="0" w:line="260" w:lineRule="auto"/>
        <w:tabs>
          <w:tab w:leader="none" w:pos="251"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 this definition, or (c) any financial institution established in an EEA Member Country which is a subsidiary of an institution described in clauses (a) or (b) of this definition and is subject to consolidated supervision with its parent.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Accounts</w:t>
      </w:r>
      <w:r>
        <w:rPr>
          <w:rFonts w:ascii="Arial" w:cs="Arial" w:eastAsia="Arial" w:hAnsi="Arial"/>
          <w:sz w:val="16"/>
          <w:szCs w:val="16"/>
          <w:color w:val="auto"/>
        </w:rPr>
        <w:t xml:space="preserve">” means those Accounts created by a Borrower in the ordinary course of its business, that arise out of such Borrower’s sale of goods or rendition of services, that comply with each of the representations and warranties respecting Eligible Accounts made in the Loan Documents, and that are not excluded as ineligible by virtue of one or more of the excluding criteria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that such criteria may be revised from time to time by Agent in Agent’s Permitted Discretion to address the results of any information with respect to the Borrowers’ business or assets of which Agent becomes aware after the Closing Date pursuant to any field examination performed by (or on behalf of) Agent from time to time after the Closing Date. In determining the amount to be included, Eligible Accounts shall be calculated net of customer deposits, unapplied cash, Taxes, finance charges, service charges, discounts, credits, allowances, and rebates. Eligible Accounts shall not include the following:</w:t>
      </w:r>
    </w:p>
    <w:p>
      <w:pPr>
        <w:spacing w:after="0" w:line="166" w:lineRule="exact"/>
        <w:rPr>
          <w:sz w:val="20"/>
          <w:szCs w:val="20"/>
          <w:color w:val="auto"/>
        </w:rPr>
      </w:pPr>
    </w:p>
    <w:p>
      <w:pPr>
        <w:ind w:left="2000" w:hanging="696"/>
        <w:spacing w:after="0"/>
        <w:tabs>
          <w:tab w:leader="none" w:pos="2000"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Accounts that the Account Debtor has failed to pay within 90 days of original invoice date or 60 days of due date,</w:t>
      </w:r>
    </w:p>
    <w:p>
      <w:pPr>
        <w:spacing w:after="0" w:line="225" w:lineRule="exact"/>
        <w:rPr>
          <w:rFonts w:ascii="Arial" w:cs="Arial" w:eastAsia="Arial" w:hAnsi="Arial"/>
          <w:sz w:val="18"/>
          <w:szCs w:val="18"/>
          <w:color w:val="010000"/>
        </w:rPr>
      </w:pPr>
    </w:p>
    <w:p>
      <w:pPr>
        <w:ind w:right="20" w:firstLine="1304"/>
        <w:spacing w:after="0" w:line="277" w:lineRule="auto"/>
        <w:tabs>
          <w:tab w:leader="none" w:pos="2054"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Accounts owed by an Account Debtor (or its Affiliates) where 50% or more of all Accounts owed by that Account Debtor (or its Affiliates) are deemed ineligible under clause (a)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ind w:left="2000" w:hanging="696"/>
        <w:spacing w:after="0"/>
        <w:tabs>
          <w:tab w:leader="none" w:pos="2000"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Accounts with payment terms of more than 90 days,</w:t>
      </w:r>
    </w:p>
    <w:p>
      <w:pPr>
        <w:spacing w:after="0" w:line="225" w:lineRule="exact"/>
        <w:rPr>
          <w:rFonts w:ascii="Arial" w:cs="Arial" w:eastAsia="Arial" w:hAnsi="Arial"/>
          <w:sz w:val="18"/>
          <w:szCs w:val="18"/>
          <w:color w:val="010000"/>
        </w:rPr>
      </w:pPr>
    </w:p>
    <w:p>
      <w:pPr>
        <w:jc w:val="both"/>
        <w:ind w:firstLine="1304"/>
        <w:spacing w:after="0" w:line="263" w:lineRule="auto"/>
        <w:tabs>
          <w:tab w:leader="none" w:pos="2000"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 xml:space="preserve">Accounts with respect to which the Account Debtor is an Affiliate of any Borrower or an employee or agent of any Borrower or any Affiliate of any Borrower; </w:t>
      </w:r>
      <w:r>
        <w:rPr>
          <w:rFonts w:ascii="Arial" w:cs="Arial" w:eastAsia="Arial" w:hAnsi="Arial"/>
          <w:sz w:val="18"/>
          <w:szCs w:val="18"/>
          <w:u w:val="single" w:color="auto"/>
          <w:color w:val="auto"/>
        </w:rPr>
        <w:t>provided</w:t>
      </w:r>
      <w:r>
        <w:rPr>
          <w:rFonts w:ascii="Arial" w:cs="Arial" w:eastAsia="Arial" w:hAnsi="Arial"/>
          <w:sz w:val="18"/>
          <w:szCs w:val="18"/>
          <w:color w:val="auto"/>
        </w:rPr>
        <w:t>, that this clause (d) shall not exclude any Account Debtor solely on the basis that such Account Debtor is a portfolio company of Sponsor,</w:t>
      </w:r>
    </w:p>
    <w:p>
      <w:pPr>
        <w:spacing w:after="0" w:line="183" w:lineRule="exact"/>
        <w:rPr>
          <w:rFonts w:ascii="Arial" w:cs="Arial" w:eastAsia="Arial" w:hAnsi="Arial"/>
          <w:sz w:val="18"/>
          <w:szCs w:val="18"/>
          <w:color w:val="010000"/>
        </w:rPr>
      </w:pPr>
    </w:p>
    <w:p>
      <w:pPr>
        <w:jc w:val="both"/>
        <w:ind w:firstLine="1304"/>
        <w:spacing w:after="0" w:line="263" w:lineRule="auto"/>
        <w:tabs>
          <w:tab w:leader="none" w:pos="2044"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Accounts (i) arising in a transaction wherein goods are placed on consignment or are sold pursuant to a guaranteed sale, a sale or return, a sale on approval, a bill and hold, or any other terms by reason of which the payment by the Account Debtor may be conditional, or (ii) with respect to which the payment terms are “C.O.D.”, cash on delivery or other similar terms,</w:t>
      </w:r>
    </w:p>
    <w:p>
      <w:pPr>
        <w:spacing w:after="0" w:line="183" w:lineRule="exact"/>
        <w:rPr>
          <w:rFonts w:ascii="Arial" w:cs="Arial" w:eastAsia="Arial" w:hAnsi="Arial"/>
          <w:sz w:val="18"/>
          <w:szCs w:val="18"/>
          <w:color w:val="010000"/>
        </w:rPr>
      </w:pPr>
    </w:p>
    <w:p>
      <w:pPr>
        <w:ind w:left="2020" w:hanging="716"/>
        <w:spacing w:after="0"/>
        <w:tabs>
          <w:tab w:leader="none" w:pos="2020"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Accounts that are not payable in Dollars,</w:t>
      </w:r>
    </w:p>
    <w:p>
      <w:pPr>
        <w:spacing w:after="0" w:line="225" w:lineRule="exact"/>
        <w:rPr>
          <w:rFonts w:ascii="Arial" w:cs="Arial" w:eastAsia="Arial" w:hAnsi="Arial"/>
          <w:sz w:val="18"/>
          <w:szCs w:val="18"/>
          <w:color w:val="010000"/>
        </w:rPr>
      </w:pPr>
    </w:p>
    <w:p>
      <w:pPr>
        <w:jc w:val="both"/>
        <w:ind w:firstLine="1304"/>
        <w:spacing w:after="0" w:line="255" w:lineRule="auto"/>
        <w:tabs>
          <w:tab w:leader="none" w:pos="2054"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 xml:space="preserve">Accounts with respect to which the Account Debtor either (i) does not maintain its chief executive office in the United States, Canada or another jurisdiction pre-approved by Agent in writing in its Permitted Discretion, or (ii) is not organized under the laws of the United States or Canada, or any state or province thereof, or another jurisdiction pre-approved by Agent in writing in its Permitted Discretion (it being agreed that the jurisdictions set forth on </w:t>
      </w:r>
      <w:r>
        <w:rPr>
          <w:rFonts w:ascii="Arial" w:cs="Arial" w:eastAsia="Arial" w:hAnsi="Arial"/>
          <w:sz w:val="18"/>
          <w:szCs w:val="18"/>
          <w:u w:val="single" w:color="auto"/>
          <w:color w:val="auto"/>
        </w:rPr>
        <w:t>Schedule E-1</w:t>
      </w:r>
      <w:r>
        <w:rPr>
          <w:rFonts w:ascii="Arial" w:cs="Arial" w:eastAsia="Arial" w:hAnsi="Arial"/>
          <w:sz w:val="18"/>
          <w:szCs w:val="18"/>
          <w:color w:val="auto"/>
        </w:rPr>
        <w:t xml:space="preserve"> are approved (as such Schedule may be updated at any time and from time to time by Agent in its Permitted Discretion)), or (iii) is the government of any foreign country or sovereign state, or of any state, province, municipality, or other political subdivision thereof, or of any department, agency, public corporation, or other instrumentality thereof,</w:t>
      </w:r>
    </w:p>
    <w:p>
      <w:pPr>
        <w:spacing w:after="0" w:line="192" w:lineRule="exact"/>
        <w:rPr>
          <w:rFonts w:ascii="Arial" w:cs="Arial" w:eastAsia="Arial" w:hAnsi="Arial"/>
          <w:sz w:val="18"/>
          <w:szCs w:val="18"/>
          <w:color w:val="010000"/>
        </w:rPr>
      </w:pPr>
    </w:p>
    <w:p>
      <w:pPr>
        <w:jc w:val="both"/>
        <w:ind w:firstLine="1304"/>
        <w:spacing w:after="0" w:line="286" w:lineRule="auto"/>
        <w:tabs>
          <w:tab w:leader="none" w:pos="2020" w:val="left"/>
        </w:tabs>
        <w:numPr>
          <w:ilvl w:val="0"/>
          <w:numId w:val="43"/>
        </w:numPr>
        <w:rPr>
          <w:rFonts w:ascii="Arial" w:cs="Arial" w:eastAsia="Arial" w:hAnsi="Arial"/>
          <w:sz w:val="17"/>
          <w:szCs w:val="17"/>
          <w:color w:val="010000"/>
        </w:rPr>
      </w:pPr>
      <w:r>
        <w:rPr>
          <w:rFonts w:ascii="Arial" w:cs="Arial" w:eastAsia="Arial" w:hAnsi="Arial"/>
          <w:sz w:val="17"/>
          <w:szCs w:val="17"/>
          <w:color w:val="010000"/>
        </w:rPr>
        <w:t>Accounts with respect to which the Account Debtor is either (i) the United States or any department, agency, or instrumentality of the United States (exclusive, however, of Accounts with respect to which Borrowers have complied, to the reasonable satisfaction of Agent, with the Assignment of Claims Act, 31 USC §3727), or (ii) any state of the United States or any other Governmental Authority,</w:t>
      </w:r>
    </w:p>
    <w:p>
      <w:pPr>
        <w:spacing w:after="0" w:line="165" w:lineRule="exact"/>
        <w:rPr>
          <w:rFonts w:ascii="Arial" w:cs="Arial" w:eastAsia="Arial" w:hAnsi="Arial"/>
          <w:sz w:val="17"/>
          <w:szCs w:val="17"/>
          <w:color w:val="010000"/>
        </w:rPr>
      </w:pPr>
    </w:p>
    <w:p>
      <w:pPr>
        <w:ind w:firstLine="1304"/>
        <w:spacing w:after="0" w:line="308" w:lineRule="auto"/>
        <w:tabs>
          <w:tab w:leader="none" w:pos="2114" w:val="left"/>
        </w:tabs>
        <w:numPr>
          <w:ilvl w:val="0"/>
          <w:numId w:val="43"/>
        </w:numPr>
        <w:rPr>
          <w:rFonts w:ascii="Arial" w:cs="Arial" w:eastAsia="Arial" w:hAnsi="Arial"/>
          <w:sz w:val="17"/>
          <w:szCs w:val="17"/>
          <w:color w:val="010000"/>
        </w:rPr>
      </w:pPr>
      <w:r>
        <w:rPr>
          <w:rFonts w:ascii="Arial" w:cs="Arial" w:eastAsia="Arial" w:hAnsi="Arial"/>
          <w:sz w:val="17"/>
          <w:szCs w:val="17"/>
          <w:color w:val="auto"/>
        </w:rPr>
        <w:t>Accounts with respect to which the Account Debtor is a creditor of a Borrower, has or has asserted a right of recoupment or setoff, or has disputed its obligation to pay all or any portion of the Account, to the extent of such claim, right of recoupment or setoff, or dispute,</w:t>
      </w:r>
    </w:p>
    <w:p>
      <w:pPr>
        <w:spacing w:after="0" w:line="146" w:lineRule="exact"/>
        <w:rPr>
          <w:rFonts w:ascii="Arial" w:cs="Arial" w:eastAsia="Arial" w:hAnsi="Arial"/>
          <w:sz w:val="17"/>
          <w:szCs w:val="17"/>
          <w:color w:val="010000"/>
        </w:rPr>
      </w:pPr>
    </w:p>
    <w:p>
      <w:pPr>
        <w:jc w:val="both"/>
        <w:ind w:firstLine="1304"/>
        <w:spacing w:after="0" w:line="275" w:lineRule="auto"/>
        <w:tabs>
          <w:tab w:leader="none" w:pos="2114" w:val="left"/>
        </w:tabs>
        <w:numPr>
          <w:ilvl w:val="0"/>
          <w:numId w:val="43"/>
        </w:numPr>
        <w:rPr>
          <w:rFonts w:ascii="Arial" w:cs="Arial" w:eastAsia="Arial" w:hAnsi="Arial"/>
          <w:sz w:val="17"/>
          <w:szCs w:val="17"/>
          <w:color w:val="010000"/>
        </w:rPr>
      </w:pPr>
      <w:r>
        <w:rPr>
          <w:rFonts w:ascii="Arial" w:cs="Arial" w:eastAsia="Arial" w:hAnsi="Arial"/>
          <w:sz w:val="17"/>
          <w:szCs w:val="17"/>
          <w:color w:val="auto"/>
        </w:rPr>
        <w:t xml:space="preserve">Accounts with respect to an Account Debtor whose Eligible Accounts owing to Borrowers exceed 25% (such percentage, as applied to a particular Account Debtor, being subject to reduction by Agent in its Permitted Discretion if the creditworthiness of such Account Debtor deteriorates) of all Eligible Accounts, to the extent of the obligations owing by such Account Debtor in excess of such percentage; </w:t>
      </w:r>
      <w:r>
        <w:rPr>
          <w:rFonts w:ascii="Arial" w:cs="Arial" w:eastAsia="Arial" w:hAnsi="Arial"/>
          <w:sz w:val="17"/>
          <w:szCs w:val="17"/>
          <w:u w:val="single" w:color="auto"/>
          <w:color w:val="auto"/>
        </w:rPr>
        <w:t>provided</w:t>
      </w:r>
      <w:r>
        <w:rPr>
          <w:rFonts w:ascii="Arial" w:cs="Arial" w:eastAsia="Arial" w:hAnsi="Arial"/>
          <w:sz w:val="17"/>
          <w:szCs w:val="17"/>
          <w:color w:val="auto"/>
        </w:rPr>
        <w:t>, that in each case, the amount of Eligible Accounts that are excluded because they exceed the foregoing percentage shall be determined by Agent based on all of the otherwise Eligible Accounts prior to giving effect to any eliminations based upon the foregoing concentration limit,</w:t>
      </w:r>
    </w:p>
    <w:p>
      <w:pPr>
        <w:spacing w:after="0" w:line="176" w:lineRule="exact"/>
        <w:rPr>
          <w:rFonts w:ascii="Arial" w:cs="Arial" w:eastAsia="Arial" w:hAnsi="Arial"/>
          <w:sz w:val="17"/>
          <w:szCs w:val="17"/>
          <w:color w:val="010000"/>
        </w:rPr>
      </w:pPr>
    </w:p>
    <w:p>
      <w:pPr>
        <w:jc w:val="both"/>
        <w:ind w:firstLine="1304"/>
        <w:spacing w:after="0" w:line="263" w:lineRule="auto"/>
        <w:tabs>
          <w:tab w:leader="none" w:pos="2135"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Accounts with respect to which the Account Debtor is subject to an Insolvency Proceeding, is not Solvent, has gone out of business, or as to which any Borrower has received notice of an imminent Insolvency Proceeding or a material impairment of the financial condition of such Account Debtor,</w:t>
      </w:r>
    </w:p>
    <w:p>
      <w:pPr>
        <w:spacing w:after="0" w:line="183" w:lineRule="exact"/>
        <w:rPr>
          <w:rFonts w:ascii="Arial" w:cs="Arial" w:eastAsia="Arial" w:hAnsi="Arial"/>
          <w:sz w:val="18"/>
          <w:szCs w:val="18"/>
          <w:color w:val="010000"/>
        </w:rPr>
      </w:pPr>
    </w:p>
    <w:p>
      <w:pPr>
        <w:ind w:left="2020" w:hanging="716"/>
        <w:spacing w:after="0"/>
        <w:tabs>
          <w:tab w:leader="none" w:pos="2020"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2020" w:hanging="716"/>
        <w:spacing w:after="0"/>
        <w:tabs>
          <w:tab w:leader="none" w:pos="2020"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Accounts that are not subject to a valid and perfected first priority Agent’s Lien,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ind w:firstLine="1304"/>
        <w:spacing w:after="0" w:line="277" w:lineRule="auto"/>
        <w:tabs>
          <w:tab w:leader="none" w:pos="2302"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Accounts with respect to which (i) the goods giving rise to such Account have not been shipped and billed to the Account Debtor, or (ii) the services giving rise to such Account have not been performed and billed to the Account Debtor,</w:t>
      </w:r>
    </w:p>
    <w:p>
      <w:pPr>
        <w:spacing w:after="0" w:line="170" w:lineRule="exact"/>
        <w:rPr>
          <w:rFonts w:ascii="Arial" w:cs="Arial" w:eastAsia="Arial" w:hAnsi="Arial"/>
          <w:sz w:val="18"/>
          <w:szCs w:val="18"/>
          <w:color w:val="010000"/>
        </w:rPr>
      </w:pPr>
    </w:p>
    <w:p>
      <w:pPr>
        <w:ind w:left="2180" w:hanging="876"/>
        <w:spacing w:after="0"/>
        <w:tabs>
          <w:tab w:leader="none" w:pos="2180"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Accounts with respect to which the Account Debtor is a Sanctioned Person or Sanctioned Entity,</w:t>
      </w:r>
    </w:p>
    <w:p>
      <w:pPr>
        <w:spacing w:after="0" w:line="225" w:lineRule="exact"/>
        <w:rPr>
          <w:rFonts w:ascii="Arial" w:cs="Arial" w:eastAsia="Arial" w:hAnsi="Arial"/>
          <w:sz w:val="18"/>
          <w:szCs w:val="18"/>
          <w:color w:val="010000"/>
        </w:rPr>
      </w:pPr>
    </w:p>
    <w:p>
      <w:pPr>
        <w:ind w:firstLine="1304"/>
        <w:spacing w:after="0" w:line="308" w:lineRule="auto"/>
        <w:tabs>
          <w:tab w:leader="none" w:pos="2518" w:val="left"/>
        </w:tabs>
        <w:numPr>
          <w:ilvl w:val="0"/>
          <w:numId w:val="44"/>
        </w:numPr>
        <w:rPr>
          <w:rFonts w:ascii="Arial" w:cs="Arial" w:eastAsia="Arial" w:hAnsi="Arial"/>
          <w:sz w:val="17"/>
          <w:szCs w:val="17"/>
          <w:color w:val="010000"/>
        </w:rPr>
      </w:pPr>
      <w:r>
        <w:rPr>
          <w:rFonts w:ascii="Arial" w:cs="Arial" w:eastAsia="Arial" w:hAnsi="Arial"/>
          <w:sz w:val="17"/>
          <w:szCs w:val="17"/>
          <w:color w:val="auto"/>
        </w:rPr>
        <w:t>Accounts (i) that represent the right to receive progress payments or other advance billings that are due prior to the completion of performance by the applicable Borrower of the subject contract for goods or services, or (ii) that represent credit card sales, or</w:t>
      </w:r>
    </w:p>
    <w:p>
      <w:pPr>
        <w:spacing w:after="0" w:line="146" w:lineRule="exact"/>
        <w:rPr>
          <w:rFonts w:ascii="Arial" w:cs="Arial" w:eastAsia="Arial" w:hAnsi="Arial"/>
          <w:sz w:val="17"/>
          <w:szCs w:val="17"/>
          <w:color w:val="010000"/>
        </w:rPr>
      </w:pPr>
    </w:p>
    <w:p>
      <w:pPr>
        <w:jc w:val="both"/>
        <w:ind w:firstLine="1304"/>
        <w:spacing w:after="0" w:line="255" w:lineRule="auto"/>
        <w:tabs>
          <w:tab w:leader="none" w:pos="2410"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 xml:space="preserve">Accounts owned by a target acquired in connection with a Permitted Acquisition or Permitted Investment, or Accounts owned by a Person that is joined to this Agreement as a Borrower pursuant to the provisions of this Agreement, until the completion of a field examination with respect to such Accounts, in each case, satisfactory to Agent in its Permitted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the completion of such field examination(s), such Accounts may constitute Eligible Accounts so long as they otherwise satisfy the criteria of “Eligible Accounts”, up to an aggregate amount of such Accounts which, when taken together with the aggregate amount of Parts constituting Eligible Parts pursuant the proviso in clause (i) of the definition thereof, does not exceed 10% of the Borrowing Base.</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Lease</w:t>
      </w:r>
      <w:r>
        <w:rPr>
          <w:rFonts w:ascii="Arial" w:cs="Arial" w:eastAsia="Arial" w:hAnsi="Arial"/>
          <w:sz w:val="16"/>
          <w:szCs w:val="16"/>
          <w:color w:val="auto"/>
        </w:rPr>
        <w:t xml:space="preserve">” shall mean a Lease entered into in the ordinary course of a Borrower’s business that is not excluded as ineligible by virtue of not meeting one or more of the criteria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that such criteria may be revised from time to time by Agent in its Permitted Discretion to address the results of any information with respect to Borrowers’ business or assets of which Agent becomes aware after the Closing Date pursuant to any field examination or appraisal performed or received by Agent from time to time after the Closing Date. No Lease shall constitute an Eligible Lease unless:</w:t>
      </w:r>
    </w:p>
    <w:p>
      <w:pPr>
        <w:spacing w:after="0" w:line="157" w:lineRule="exact"/>
        <w:rPr>
          <w:sz w:val="20"/>
          <w:szCs w:val="20"/>
          <w:color w:val="auto"/>
        </w:rPr>
      </w:pPr>
    </w:p>
    <w:p>
      <w:pPr>
        <w:jc w:val="both"/>
        <w:ind w:firstLine="1304"/>
        <w:spacing w:after="0" w:line="259" w:lineRule="auto"/>
        <w:tabs>
          <w:tab w:leader="none" w:pos="2139"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such Lease is a legal, valid and binding obligation of the related Lessee, is enforceable in accordance with its terms (except as may be limited by applicable insolvency, bankruptcy, moratorium, reorganization, or other similar laws affecting enforceability of creditors’ rights generally and the availability of equitable remedies), is in full force and effect and is governed by the law of (i) any state of the United States, (ii) England, or (iii) any other jurisdiction pre-approved by Agent in writing in its Permitted Discretion,</w:t>
      </w:r>
    </w:p>
    <w:p>
      <w:pPr>
        <w:spacing w:after="0" w:line="186" w:lineRule="exact"/>
        <w:rPr>
          <w:rFonts w:ascii="Arial" w:cs="Arial" w:eastAsia="Arial" w:hAnsi="Arial"/>
          <w:sz w:val="18"/>
          <w:szCs w:val="18"/>
          <w:color w:val="010000"/>
        </w:rPr>
      </w:pPr>
    </w:p>
    <w:p>
      <w:pPr>
        <w:ind w:firstLine="1304"/>
        <w:spacing w:after="0" w:line="277" w:lineRule="auto"/>
        <w:tabs>
          <w:tab w:leader="none" w:pos="2216"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such Lessee’s obligations under such Lease are non-cancelable and such Lessee’s obligation to make scheduled payments is unconditional and not subject to any right of set-off, counterclaim, reduction or recoupment,</w:t>
      </w:r>
    </w:p>
    <w:p>
      <w:pPr>
        <w:spacing w:after="0" w:line="170" w:lineRule="exact"/>
        <w:rPr>
          <w:rFonts w:ascii="Arial" w:cs="Arial" w:eastAsia="Arial" w:hAnsi="Arial"/>
          <w:sz w:val="18"/>
          <w:szCs w:val="18"/>
          <w:color w:val="010000"/>
        </w:rPr>
      </w:pPr>
    </w:p>
    <w:p>
      <w:pPr>
        <w:jc w:val="both"/>
        <w:ind w:firstLine="1304"/>
        <w:spacing w:after="0" w:line="263" w:lineRule="auto"/>
        <w:tabs>
          <w:tab w:leader="none" w:pos="2184"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such Lease is a net lease and contains provisions requiring such Lessee to pay all sales, use, excise, rental, property or similar taxes imposed on or with respect to such Whole Aircraft or Whole Engine and to assume all risk of loss or damage of such Whole Aircraft or Whole Engine,</w:t>
      </w:r>
    </w:p>
    <w:p>
      <w:pPr>
        <w:spacing w:after="0" w:line="183" w:lineRule="exact"/>
        <w:rPr>
          <w:rFonts w:ascii="Arial" w:cs="Arial" w:eastAsia="Arial" w:hAnsi="Arial"/>
          <w:sz w:val="18"/>
          <w:szCs w:val="18"/>
          <w:color w:val="010000"/>
        </w:rPr>
      </w:pPr>
    </w:p>
    <w:p>
      <w:pPr>
        <w:ind w:firstLine="1304"/>
        <w:spacing w:after="0" w:line="342" w:lineRule="auto"/>
        <w:tabs>
          <w:tab w:leader="none" w:pos="2180" w:val="left"/>
        </w:tabs>
        <w:numPr>
          <w:ilvl w:val="0"/>
          <w:numId w:val="45"/>
        </w:numPr>
        <w:rPr>
          <w:rFonts w:ascii="Arial" w:cs="Arial" w:eastAsia="Arial" w:hAnsi="Arial"/>
          <w:sz w:val="16"/>
          <w:szCs w:val="16"/>
          <w:color w:val="010000"/>
        </w:rPr>
      </w:pPr>
      <w:r>
        <w:rPr>
          <w:rFonts w:ascii="Arial" w:cs="Arial" w:eastAsia="Arial" w:hAnsi="Arial"/>
          <w:sz w:val="16"/>
          <w:szCs w:val="16"/>
          <w:color w:val="auto"/>
        </w:rPr>
        <w:t>such Lease includes maintenance requirements, as necessary when such Whole Aircraft or Whole Engine is being operated to maintain such Whole Aircraft or Whole Engine’s serviceability standards pursuant to the requirements of the applicable Governmental Authorities,</w:t>
      </w:r>
    </w:p>
    <w:p>
      <w:pPr>
        <w:spacing w:after="0" w:line="123" w:lineRule="exact"/>
        <w:rPr>
          <w:rFonts w:ascii="Arial" w:cs="Arial" w:eastAsia="Arial" w:hAnsi="Arial"/>
          <w:sz w:val="16"/>
          <w:szCs w:val="16"/>
          <w:color w:val="010000"/>
        </w:rPr>
      </w:pPr>
    </w:p>
    <w:p>
      <w:pPr>
        <w:jc w:val="both"/>
        <w:ind w:right="20" w:firstLine="1304"/>
        <w:spacing w:after="0" w:line="263" w:lineRule="auto"/>
        <w:tabs>
          <w:tab w:leader="none" w:pos="2197"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such Lease grants permission to sublease only if the primary Lessee thereunder remains obligated under such primary Lease, any sublease will be subject and subordinate to the primary Lease, and the sublessee’s principal base of operations is not situated in an Unapproved Foreign Jurisdiction,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40" w:name="page141"/>
    <w:bookmarkEnd w:id="140"/>
    <w:p>
      <w:pPr>
        <w:jc w:val="both"/>
        <w:ind w:firstLine="1304"/>
        <w:spacing w:after="0" w:line="263" w:lineRule="auto"/>
        <w:tabs>
          <w:tab w:leader="none" w:pos="2398"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such Lease provide that the Lessee shall not create any Liens in respect of such Whole Aircraft or Whole Engine or the related Whole Engines, or any Parts, except for exceptions thereto that are consistent with the Borrowers’ compliance with the corresponding provisions of this Agreement,</w:t>
      </w:r>
    </w:p>
    <w:p>
      <w:pPr>
        <w:spacing w:after="0" w:line="183" w:lineRule="exact"/>
        <w:rPr>
          <w:rFonts w:ascii="Arial" w:cs="Arial" w:eastAsia="Arial" w:hAnsi="Arial"/>
          <w:sz w:val="18"/>
          <w:szCs w:val="18"/>
          <w:color w:val="010000"/>
        </w:rPr>
      </w:pPr>
    </w:p>
    <w:p>
      <w:pPr>
        <w:ind w:firstLine="1304"/>
        <w:spacing w:after="0" w:line="277" w:lineRule="auto"/>
        <w:tabs>
          <w:tab w:leader="none" w:pos="2180"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such Lease allows the Lessee to re-register the Whole Aircraft only so long as the lessor’s and Agent’s interest in such Whole Aircraft (and any Whole Engine installed thereon) is adequately protected in the Permitted Discretion of Agent,</w:t>
      </w:r>
    </w:p>
    <w:p>
      <w:pPr>
        <w:spacing w:after="0" w:line="170" w:lineRule="exact"/>
        <w:rPr>
          <w:rFonts w:ascii="Arial" w:cs="Arial" w:eastAsia="Arial" w:hAnsi="Arial"/>
          <w:sz w:val="18"/>
          <w:szCs w:val="18"/>
          <w:color w:val="010000"/>
        </w:rPr>
      </w:pPr>
    </w:p>
    <w:p>
      <w:pPr>
        <w:ind w:firstLine="1304"/>
        <w:spacing w:after="0" w:line="277" w:lineRule="auto"/>
        <w:tabs>
          <w:tab w:leader="none" w:pos="2369"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such Lease includes general and tax indemnity provisions, with customary exclusions that are consistent with customary practices in the operating lease industry,</w:t>
      </w:r>
    </w:p>
    <w:p>
      <w:pPr>
        <w:spacing w:after="0" w:line="170" w:lineRule="exact"/>
        <w:rPr>
          <w:rFonts w:ascii="Arial" w:cs="Arial" w:eastAsia="Arial" w:hAnsi="Arial"/>
          <w:sz w:val="18"/>
          <w:szCs w:val="18"/>
          <w:color w:val="010000"/>
        </w:rPr>
      </w:pPr>
    </w:p>
    <w:p>
      <w:pPr>
        <w:ind w:left="2240" w:hanging="936"/>
        <w:spacing w:after="0"/>
        <w:tabs>
          <w:tab w:leader="none" w:pos="2240"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all payments under such Lease are required to be made in Dollars, and</w:t>
      </w:r>
    </w:p>
    <w:p>
      <w:pPr>
        <w:spacing w:after="0" w:line="225" w:lineRule="exact"/>
        <w:rPr>
          <w:rFonts w:ascii="Arial" w:cs="Arial" w:eastAsia="Arial" w:hAnsi="Arial"/>
          <w:sz w:val="18"/>
          <w:szCs w:val="18"/>
          <w:color w:val="010000"/>
        </w:rPr>
      </w:pPr>
    </w:p>
    <w:p>
      <w:pPr>
        <w:jc w:val="both"/>
        <w:ind w:firstLine="1304"/>
        <w:spacing w:after="0" w:line="255" w:lineRule="auto"/>
        <w:tabs>
          <w:tab w:leader="none" w:pos="2352"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 xml:space="preserve">such Lease requires such Lessee to provide liability insurance, all risk ground and flight hull coverage for damage/loss of Whole Aircraft and Whole Engines (including spares coverage for items not covered under such hull coverage and when removed from the Whole Aircraft or Whole Engine and replaced) and war risk and allied perils hull and liability insurance coverage with coverages and deductibles meeting all requirements of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of this Agreement and from recognized insurers and, if applicable, reinsurers (or Governmental Authorities), all of which shall name Agent as additional insured and contract party and, in the case of hull coverage (including war and allied perils and spares coverage), loss payee upon an “event of loss” or “total loss” (or similar term).</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Off-Lease Whole Engine Collateral</w:t>
      </w:r>
      <w:r>
        <w:rPr>
          <w:rFonts w:ascii="Arial" w:cs="Arial" w:eastAsia="Arial" w:hAnsi="Arial"/>
          <w:sz w:val="18"/>
          <w:szCs w:val="18"/>
          <w:color w:val="auto"/>
        </w:rPr>
        <w:t>” means those Whole Engines that are not subject to a Lease and do not otherwise qualify as Eligible Whole Engine Collateral solely because they do not satisfy clause (h) of the definition of “Specified Aviation Equipment Criteria”, but otherwise satisfy all Specified Aviation Equipment Criteria and would otherwise constitute Eligible Whole Engine Collateral, so long as each such Whole Engine is (i) located in a Pre-Approved Jurisdiction or other jurisdiction approved by Agent in its Permitted Discretion (but not an Unapproved Foreign Jurisdiction) at a location acceptable to Agent pursuant to temporary storage arrangements on terms and conditions acceptable to Agent, pursuant to such documents as Agent shall require and for a duration acceptable to Agent, in each case, in its Permitted Discretion, or (ii) otherwise deemed eligible by Agent in its Permitted Discretion.</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Parts</w:t>
      </w:r>
      <w:r>
        <w:rPr>
          <w:rFonts w:ascii="Arial" w:cs="Arial" w:eastAsia="Arial" w:hAnsi="Arial"/>
          <w:sz w:val="17"/>
          <w:szCs w:val="17"/>
          <w:color w:val="auto"/>
        </w:rPr>
        <w:t xml:space="preserve">” means all Inventory comprised of Parts (other than Parts on consignment) which have been specifically assigned a valuation (including an NOLV) in an Acceptable Appraisal, which complies with each of the representations and warranties respecting Eligible Parts made in the Loan Documents, and that is not excluded as ineligible by virtue of one or more of the excluding criteria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that such criteria may be revised from time to time by Agent in Agent’s Permitted Discretion to address the results of any information with respect to the Borrowers’ business or assets of which Agent becomes aware after the Closing Date pursuant to any field examination or appraisal performed or received by Agent from time to time after the Closing Date. In determining the amount to be so included, Parts shall be valued at gross book cost on a basis consistent with Borrowers’ historical accounting practices. A Part shall not be included in Eligible Parts if:</w:t>
      </w:r>
    </w:p>
    <w:p>
      <w:pPr>
        <w:spacing w:after="0" w:line="177" w:lineRule="exact"/>
        <w:rPr>
          <w:sz w:val="20"/>
          <w:szCs w:val="20"/>
          <w:color w:val="auto"/>
        </w:rPr>
      </w:pPr>
    </w:p>
    <w:p>
      <w:pPr>
        <w:ind w:left="2220" w:hanging="916"/>
        <w:spacing w:after="0"/>
        <w:tabs>
          <w:tab w:leader="none" w:pos="2220"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a Borrower does not have good, valid, and marketable title thereto,</w:t>
      </w:r>
    </w:p>
    <w:p>
      <w:pPr>
        <w:spacing w:after="0" w:line="225" w:lineRule="exact"/>
        <w:rPr>
          <w:rFonts w:ascii="Arial" w:cs="Arial" w:eastAsia="Arial" w:hAnsi="Arial"/>
          <w:sz w:val="18"/>
          <w:szCs w:val="18"/>
          <w:color w:val="010000"/>
        </w:rPr>
      </w:pPr>
    </w:p>
    <w:p>
      <w:pPr>
        <w:ind w:left="2620" w:hanging="1316"/>
        <w:spacing w:after="0"/>
        <w:tabs>
          <w:tab w:leader="none" w:pos="2620" w:val="left"/>
        </w:tabs>
        <w:numPr>
          <w:ilvl w:val="0"/>
          <w:numId w:val="47"/>
        </w:numPr>
        <w:rPr>
          <w:rFonts w:ascii="Arial" w:cs="Arial" w:eastAsia="Arial" w:hAnsi="Arial"/>
          <w:sz w:val="17"/>
          <w:szCs w:val="17"/>
          <w:color w:val="010000"/>
        </w:rPr>
      </w:pPr>
      <w:r>
        <w:rPr>
          <w:rFonts w:ascii="Arial" w:cs="Arial" w:eastAsia="Arial" w:hAnsi="Arial"/>
          <w:sz w:val="17"/>
          <w:szCs w:val="17"/>
          <w:color w:val="auto"/>
        </w:rPr>
        <w:t>a Borrower does not have actual and exclusive possession thereof (either directly or through a bailee or agent of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jc w:val="both"/>
        <w:ind w:firstLine="1304"/>
        <w:spacing w:after="0" w:line="259" w:lineRule="auto"/>
        <w:tabs>
          <w:tab w:leader="none" w:pos="2242"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 xml:space="preserve">it is not located at one of the locations in the continental United States (or such other jurisdictions as approved by Agent) set forth on </w:t>
      </w:r>
      <w:r>
        <w:rPr>
          <w:rFonts w:ascii="Arial" w:cs="Arial" w:eastAsia="Arial" w:hAnsi="Arial"/>
          <w:sz w:val="18"/>
          <w:szCs w:val="18"/>
          <w:u w:val="single" w:color="auto"/>
          <w:color w:val="auto"/>
        </w:rPr>
        <w:t>Schedule E-2</w:t>
      </w:r>
      <w:r>
        <w:rPr>
          <w:rFonts w:ascii="Arial" w:cs="Arial" w:eastAsia="Arial" w:hAnsi="Arial"/>
          <w:sz w:val="18"/>
          <w:szCs w:val="18"/>
          <w:color w:val="auto"/>
        </w:rPr>
        <w:t xml:space="preserve"> to this Agreement (as such </w:t>
      </w:r>
      <w:r>
        <w:rPr>
          <w:rFonts w:ascii="Arial" w:cs="Arial" w:eastAsia="Arial" w:hAnsi="Arial"/>
          <w:sz w:val="18"/>
          <w:szCs w:val="18"/>
          <w:u w:val="single" w:color="auto"/>
          <w:color w:val="auto"/>
        </w:rPr>
        <w:t>Schedule E-2</w:t>
      </w:r>
      <w:r>
        <w:rPr>
          <w:rFonts w:ascii="Arial" w:cs="Arial" w:eastAsia="Arial" w:hAnsi="Arial"/>
          <w:sz w:val="18"/>
          <w:szCs w:val="18"/>
          <w:color w:val="auto"/>
        </w:rPr>
        <w:t xml:space="preserve"> may be amended from time to time with the prior written consent of Agent, which consent shall be provided in Agent’s Permitted Discretion) (or in-transit from one such location to another such location, or from a repair facility to such a location),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firstLine="1304"/>
        <w:spacing w:after="0" w:line="259" w:lineRule="auto"/>
        <w:tabs>
          <w:tab w:leader="none" w:pos="2288"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 xml:space="preserve">it is in-transit to or from a location of a Borrower (other than in-transit from one location set forth on </w:t>
      </w:r>
      <w:r>
        <w:rPr>
          <w:rFonts w:ascii="Arial" w:cs="Arial" w:eastAsia="Arial" w:hAnsi="Arial"/>
          <w:sz w:val="18"/>
          <w:szCs w:val="18"/>
          <w:u w:val="single" w:color="auto"/>
          <w:color w:val="auto"/>
        </w:rPr>
        <w:t>Schedule E-2</w:t>
      </w:r>
      <w:r>
        <w:rPr>
          <w:rFonts w:ascii="Arial" w:cs="Arial" w:eastAsia="Arial" w:hAnsi="Arial"/>
          <w:sz w:val="18"/>
          <w:szCs w:val="18"/>
          <w:color w:val="auto"/>
        </w:rPr>
        <w:t xml:space="preserve"> to this Agreement to another location set forth on </w:t>
      </w:r>
      <w:r>
        <w:rPr>
          <w:rFonts w:ascii="Arial" w:cs="Arial" w:eastAsia="Arial" w:hAnsi="Arial"/>
          <w:sz w:val="18"/>
          <w:szCs w:val="18"/>
          <w:u w:val="single" w:color="auto"/>
          <w:color w:val="auto"/>
        </w:rPr>
        <w:t>Schedule E-2</w:t>
      </w:r>
      <w:r>
        <w:rPr>
          <w:rFonts w:ascii="Arial" w:cs="Arial" w:eastAsia="Arial" w:hAnsi="Arial"/>
          <w:sz w:val="18"/>
          <w:szCs w:val="18"/>
          <w:color w:val="auto"/>
        </w:rPr>
        <w:t xml:space="preserve"> to this Agreement (as such </w:t>
      </w:r>
      <w:r>
        <w:rPr>
          <w:rFonts w:ascii="Arial" w:cs="Arial" w:eastAsia="Arial" w:hAnsi="Arial"/>
          <w:sz w:val="18"/>
          <w:szCs w:val="18"/>
          <w:u w:val="single" w:color="auto"/>
          <w:color w:val="auto"/>
        </w:rPr>
        <w:t>Schedule E-2</w:t>
      </w:r>
      <w:r>
        <w:rPr>
          <w:rFonts w:ascii="Arial" w:cs="Arial" w:eastAsia="Arial" w:hAnsi="Arial"/>
          <w:sz w:val="18"/>
          <w:szCs w:val="18"/>
          <w:color w:val="auto"/>
        </w:rPr>
        <w:t xml:space="preserve"> may be amended from time to time with the prior written consent of Agent, which consent shall be provided in Agent’s Permitted Discretion), or from a repair facility to a location set forth on </w:t>
      </w:r>
      <w:r>
        <w:rPr>
          <w:rFonts w:ascii="Arial" w:cs="Arial" w:eastAsia="Arial" w:hAnsi="Arial"/>
          <w:sz w:val="18"/>
          <w:szCs w:val="18"/>
          <w:u w:val="single" w:color="auto"/>
          <w:color w:val="auto"/>
        </w:rPr>
        <w:t>Schedule E-2</w:t>
      </w:r>
      <w:r>
        <w:rPr>
          <w:rFonts w:ascii="Arial" w:cs="Arial" w:eastAsia="Arial" w:hAnsi="Arial"/>
          <w:sz w:val="18"/>
          <w:szCs w:val="18"/>
          <w:color w:val="auto"/>
        </w:rPr>
        <w:t xml:space="preserve"> to this Agreement),</w:t>
      </w:r>
    </w:p>
    <w:p>
      <w:pPr>
        <w:spacing w:after="0" w:line="186" w:lineRule="exact"/>
        <w:rPr>
          <w:rFonts w:ascii="Arial" w:cs="Arial" w:eastAsia="Arial" w:hAnsi="Arial"/>
          <w:sz w:val="18"/>
          <w:szCs w:val="18"/>
          <w:color w:val="010000"/>
        </w:rPr>
      </w:pPr>
    </w:p>
    <w:p>
      <w:pPr>
        <w:jc w:val="both"/>
        <w:ind w:firstLine="1304"/>
        <w:spacing w:after="0" w:line="311" w:lineRule="auto"/>
        <w:tabs>
          <w:tab w:leader="none" w:pos="2184" w:val="left"/>
        </w:tabs>
        <w:numPr>
          <w:ilvl w:val="0"/>
          <w:numId w:val="49"/>
        </w:numPr>
        <w:rPr>
          <w:rFonts w:ascii="Arial" w:cs="Arial" w:eastAsia="Arial" w:hAnsi="Arial"/>
          <w:sz w:val="16"/>
          <w:szCs w:val="16"/>
          <w:color w:val="010000"/>
        </w:rPr>
      </w:pPr>
      <w:r>
        <w:rPr>
          <w:rFonts w:ascii="Arial" w:cs="Arial" w:eastAsia="Arial" w:hAnsi="Arial"/>
          <w:sz w:val="16"/>
          <w:szCs w:val="16"/>
          <w:color w:val="auto"/>
        </w:rPr>
        <w:t>it is located on real property leased by a Borrower or in a contract warehouse or with a bailee, in each case, unless either (i) it is subject to a Collateral Access Agreement executed by the lessor or warehouseman, as the case may be, and it is segregated or otherwise separately identifiable from goods of others, if any, stored on the premises, or (ii) Agent has established a Landlord Reserve with respect to such location,</w:t>
      </w:r>
    </w:p>
    <w:p>
      <w:pPr>
        <w:spacing w:after="0" w:line="148" w:lineRule="exact"/>
        <w:rPr>
          <w:rFonts w:ascii="Arial" w:cs="Arial" w:eastAsia="Arial" w:hAnsi="Arial"/>
          <w:sz w:val="16"/>
          <w:szCs w:val="16"/>
          <w:color w:val="010000"/>
        </w:rPr>
      </w:pPr>
    </w:p>
    <w:p>
      <w:pPr>
        <w:ind w:left="2200" w:hanging="896"/>
        <w:spacing w:after="0"/>
        <w:tabs>
          <w:tab w:leader="none" w:pos="2200"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it is not subject to a valid and perfected first priority Agent’s Lien,</w:t>
      </w:r>
    </w:p>
    <w:p>
      <w:pPr>
        <w:spacing w:after="0" w:line="225" w:lineRule="exact"/>
        <w:rPr>
          <w:rFonts w:ascii="Arial" w:cs="Arial" w:eastAsia="Arial" w:hAnsi="Arial"/>
          <w:sz w:val="18"/>
          <w:szCs w:val="18"/>
          <w:color w:val="010000"/>
        </w:rPr>
      </w:pPr>
    </w:p>
    <w:p>
      <w:pPr>
        <w:ind w:left="2180" w:hanging="876"/>
        <w:spacing w:after="0"/>
        <w:tabs>
          <w:tab w:leader="none" w:pos="2180"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2180" w:hanging="876"/>
        <w:spacing w:after="0"/>
        <w:tabs>
          <w:tab w:leader="none" w:pos="2180"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it consists of goods that are unmerchantable, obsolete, bill and hold goods, defective goods,</w:t>
      </w:r>
    </w:p>
    <w:p>
      <w:pPr>
        <w:spacing w:after="0" w:line="225" w:lineRule="exact"/>
        <w:rPr>
          <w:rFonts w:ascii="Arial" w:cs="Arial" w:eastAsia="Arial" w:hAnsi="Arial"/>
          <w:sz w:val="18"/>
          <w:szCs w:val="18"/>
          <w:color w:val="010000"/>
        </w:rPr>
      </w:pPr>
    </w:p>
    <w:p>
      <w:pPr>
        <w:jc w:val="both"/>
        <w:ind w:firstLine="1304"/>
        <w:spacing w:after="0" w:line="273" w:lineRule="auto"/>
        <w:tabs>
          <w:tab w:leader="none" w:pos="2199" w:val="left"/>
        </w:tabs>
        <w:numPr>
          <w:ilvl w:val="0"/>
          <w:numId w:val="49"/>
        </w:numPr>
        <w:rPr>
          <w:rFonts w:ascii="Arial" w:cs="Arial" w:eastAsia="Arial" w:hAnsi="Arial"/>
          <w:sz w:val="17"/>
          <w:szCs w:val="17"/>
          <w:color w:val="010000"/>
        </w:rPr>
      </w:pPr>
      <w:r>
        <w:rPr>
          <w:rFonts w:ascii="Arial" w:cs="Arial" w:eastAsia="Arial" w:hAnsi="Arial"/>
          <w:sz w:val="17"/>
          <w:szCs w:val="17"/>
          <w:color w:val="auto"/>
        </w:rPr>
        <w:t xml:space="preserve">it was acquired in connection with a Permitted Acquisition or Permitted Investment, or such Part is owned by a Person that is joined to this Agreement as a Borrower pursuant to the provisions of this Agreement, until the completion of an Acceptable Appraisal of such Part and the completion of a field examination with respect to such Part that is satisfactory to Agent in its Permitted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the completion of such Acceptable Appraisal and field examination, any such Parts may constitute Eligible Parts so long as they otherwise satisfy the criteria of “Eligible Parts”, up to an aggregate amount of such Parts which, when taken together with the aggregate amount of Accounts constituting Eligible Accounts pursuant the proviso in clause (q) of the definition thereof, does not exceed 10% of the Borrowing Base,</w:t>
      </w:r>
    </w:p>
    <w:p>
      <w:pPr>
        <w:spacing w:after="0" w:line="177" w:lineRule="exact"/>
        <w:rPr>
          <w:rFonts w:ascii="Arial" w:cs="Arial" w:eastAsia="Arial" w:hAnsi="Arial"/>
          <w:sz w:val="17"/>
          <w:szCs w:val="17"/>
          <w:color w:val="010000"/>
        </w:rPr>
      </w:pPr>
    </w:p>
    <w:p>
      <w:pPr>
        <w:ind w:left="2200" w:hanging="896"/>
        <w:spacing w:after="0"/>
        <w:tabs>
          <w:tab w:leader="none" w:pos="2200"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it is not held for use or sale in the ordinary course of Borrowers’ business,</w:t>
      </w:r>
    </w:p>
    <w:p>
      <w:pPr>
        <w:spacing w:after="0" w:line="225" w:lineRule="exact"/>
        <w:rPr>
          <w:rFonts w:ascii="Arial" w:cs="Arial" w:eastAsia="Arial" w:hAnsi="Arial"/>
          <w:sz w:val="18"/>
          <w:szCs w:val="18"/>
          <w:color w:val="010000"/>
        </w:rPr>
      </w:pPr>
    </w:p>
    <w:p>
      <w:pPr>
        <w:ind w:left="2180" w:hanging="876"/>
        <w:spacing w:after="0"/>
        <w:tabs>
          <w:tab w:leader="none" w:pos="2180"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it is otherwise deemed ineligible by Agent in its Permitted Discretion.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Whole Aircraft Collateral</w:t>
      </w:r>
      <w:r>
        <w:rPr>
          <w:rFonts w:ascii="Arial" w:cs="Arial" w:eastAsia="Arial" w:hAnsi="Arial"/>
          <w:sz w:val="16"/>
          <w:szCs w:val="16"/>
          <w:color w:val="auto"/>
        </w:rPr>
        <w:t xml:space="preserve">” means each airframe owned by any Borrower including all parts, accessories and components attached thereto (but excluding any engines attached thereto and any parts, accessories, engines and components removed therefrom) and all logbooks, manuals and technical documents relating thereto, in each case not excluded as ineligible by virtue of not meeting one or more of the Specified Aviation Equipment Criteria; </w:t>
      </w:r>
      <w:r>
        <w:rPr>
          <w:rFonts w:ascii="Arial" w:cs="Arial" w:eastAsia="Arial" w:hAnsi="Arial"/>
          <w:sz w:val="16"/>
          <w:szCs w:val="16"/>
          <w:u w:val="single" w:color="auto"/>
          <w:color w:val="auto"/>
        </w:rPr>
        <w:t>provided</w:t>
      </w:r>
      <w:r>
        <w:rPr>
          <w:rFonts w:ascii="Arial" w:cs="Arial" w:eastAsia="Arial" w:hAnsi="Arial"/>
          <w:sz w:val="16"/>
          <w:szCs w:val="16"/>
          <w:color w:val="auto"/>
        </w:rPr>
        <w:t>, that such criteria may be revised from time to time by Agent in its Permitted Discretion to address the results of any information with respect to Borrowers’ business or assets of which Agent becomes aware after the Closing Date pursuant to any field examination or appraisal performed or received by Agent from time to time after the Closing Date. An item shall not be included in Eligible Whole Aircraft Collateral unless it has been specifically assigned a valuation (including an NOLV) in an Acceptable Appraisal and meets all of the Specified Aviation Equipment Criteria.</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Whole Engine Collateral</w:t>
      </w:r>
      <w:r>
        <w:rPr>
          <w:rFonts w:ascii="Arial" w:cs="Arial" w:eastAsia="Arial" w:hAnsi="Arial"/>
          <w:sz w:val="17"/>
          <w:szCs w:val="17"/>
          <w:color w:val="auto"/>
        </w:rPr>
        <w:t xml:space="preserve">” means each aircraft engine owned by any Borrower including all parts, accessories and components attached thereto (but not any parts, components or accessories removed therefrom while not attached thereto provided the same shall have been replaced in accordance with the Guaranty and Security Agreement), whether or not attached to a Whole Aircraft, in each case not excluded as ineligible by virtue of not meeting one or more of the Specified Aviation Equipment Criteria; </w:t>
      </w:r>
      <w:r>
        <w:rPr>
          <w:rFonts w:ascii="Arial" w:cs="Arial" w:eastAsia="Arial" w:hAnsi="Arial"/>
          <w:sz w:val="17"/>
          <w:szCs w:val="17"/>
          <w:u w:val="single" w:color="auto"/>
          <w:color w:val="auto"/>
        </w:rPr>
        <w:t>provided</w:t>
      </w:r>
      <w:r>
        <w:rPr>
          <w:rFonts w:ascii="Arial" w:cs="Arial" w:eastAsia="Arial" w:hAnsi="Arial"/>
          <w:sz w:val="17"/>
          <w:szCs w:val="17"/>
          <w:color w:val="auto"/>
        </w:rPr>
        <w:t>, that such criteria may be revised from time to time by Agent in its Permitted Discretion to address the results of any information with respect to Borrowers’ business or assets of which Agent becomes aware after the Closing Date pursuant to any field examination or appraisal performed or received by Agent from time to time after the Closing Date. An item shall not be included in Eligible Whole Engine Collateral unless it has been specifically assigned a valuation (including an NOLV) in an Acceptable Appraisal and meets all of the Specified Aviation Equipment Criteria. Notwithstanding the foregoing, Eligible Off-Lease Whole Engine Collateral shall constitute Eligible Whole Engine Collateral.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Engine Mortgage</w:t>
      </w:r>
      <w:r>
        <w:rPr>
          <w:rFonts w:ascii="Arial" w:cs="Arial" w:eastAsia="Arial" w:hAnsi="Arial"/>
          <w:sz w:val="18"/>
          <w:szCs w:val="18"/>
          <w:color w:val="auto"/>
        </w:rPr>
        <w:t>” means each Engine Mortgage and Security Agreement entered into and delivered, at any time, by any Borrower or a trustee or guarantor for the benefit of any Borrower in respect of any Whole Engine.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Engine Reserves</w:t>
      </w:r>
      <w:r>
        <w:rPr>
          <w:rFonts w:ascii="Arial" w:cs="Arial" w:eastAsia="Arial" w:hAnsi="Arial"/>
          <w:sz w:val="18"/>
          <w:szCs w:val="18"/>
          <w:color w:val="auto"/>
        </w:rPr>
        <w:t xml:space="preserve">” means, as of any date of determination, (a) Landlord Reserves in respect of Whole Engines, and (b) those reserves that Agent deems necessary or appropriate, in its Permitted Discretion and subject to </w:t>
      </w:r>
      <w:r>
        <w:rPr>
          <w:rFonts w:ascii="Arial" w:cs="Arial" w:eastAsia="Arial" w:hAnsi="Arial"/>
          <w:sz w:val="18"/>
          <w:szCs w:val="18"/>
          <w:u w:val="single" w:color="auto"/>
          <w:color w:val="auto"/>
        </w:rPr>
        <w:t>Section 2.1(c)</w:t>
      </w:r>
      <w:r>
        <w:rPr>
          <w:rFonts w:ascii="Arial" w:cs="Arial" w:eastAsia="Arial" w:hAnsi="Arial"/>
          <w:sz w:val="18"/>
          <w:szCs w:val="18"/>
          <w:color w:val="auto"/>
        </w:rPr>
        <w:t>, to establish and maintain with respect to Eligible Whole Engine Collateral, including based on the results of appraisals.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Action</w:t>
      </w:r>
      <w:r>
        <w:rPr>
          <w:rFonts w:ascii="Arial" w:cs="Arial" w:eastAsia="Arial" w:hAnsi="Arial"/>
          <w:sz w:val="17"/>
          <w:szCs w:val="17"/>
          <w:color w:val="auto"/>
        </w:rPr>
        <w:t>” means any written complaint, summons, citation, notice, directive, order, claim, litigation, investigation, judicial or administrative proceeding, judgment, letter, or other written communication from any Governmental Authority, or any third party involving violations of Environmental Laws or releases of Hazardous Materials (a) from any assets, properties, or businesses of any Borrower, any Subsidiary of any Borrower, or any of their predecessors in interest, (b) from adjoining properties or businesses, or (c) from or onto any facilities which received Hazardous Materials generated by any Borrower, any Subsidiary of any Borrower, or any of their predecessors in interest.</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applicable federal, state, provincial, foreign or local statute, law, rule, regulation, ordinance, code, binding and enforceable guideline, binding and enforceable written policy, or rule of common law now or hereafter in effect and in each case as amended, or any judicial or administrative interpretation thereof, including any judicial or administrative order, consent decree or judgment, in each case, to the extent binding on any Loan Party or its Subsidiaries, relating to the environment, the effect of the environment on employee health, or Hazardous Materials, in each case as amended from time to time.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Liabilities</w:t>
      </w:r>
      <w:r>
        <w:rPr>
          <w:rFonts w:ascii="Arial" w:cs="Arial" w:eastAsia="Arial" w:hAnsi="Arial"/>
          <w:sz w:val="18"/>
          <w:szCs w:val="18"/>
          <w:color w:val="auto"/>
        </w:rPr>
        <w:t>” means all liabilities, monetary obligations, losses, damages, costs and expenses (including all reasonable fees, disbursements and expenses of counsel, experts, or consultants, and costs of investigation and feasibility studies), fines, penalties, sanctions, and interest incurred as a result of any claim or demand, or Remedial Action required, by any Governmental Authority or any third party, and which relate to any Environmental Action.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Lien</w:t>
      </w:r>
      <w:r>
        <w:rPr>
          <w:rFonts w:ascii="Arial" w:cs="Arial" w:eastAsia="Arial" w:hAnsi="Arial"/>
          <w:sz w:val="18"/>
          <w:szCs w:val="18"/>
          <w:color w:val="auto"/>
        </w:rPr>
        <w:t>” means any Lien in favor of any Governmental Authority for Environmental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means equipment (as that term is defined in the Code).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with respect to a Person, all of the shares, options, warrants, interests, participations,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any successor statute thereto.</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 any Person subject to ERISA whose employees are treated as employed by the same employer as the employees of any Loan Party or its Subsidiaries under IRC Section 414(b), (b) any trade or business subject to ERISA whose employees are treated as employed by the same employer as the employees of any Loan Party or its Subsidiaries under IRC Section 414(c), (c) solely for purposes of Section 302 of ERISA and Section 412 of the IRC, any organization subject to ERISA that is a member of an affiliated service group of which any Loan Party or any of its Subsidiaries is a member under IRC Section 414(m), or (d) solely for purposes of Section 302 of ERISA and Section 412 of the IRC, any Person subject to ERISA that is a party to an arrangement with any Loan Party or any of its Subsidiaries and whose employees are aggregated with the employees of such Loan Party or its Subsidiaries under IRC Section 414(o).</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with respect to any Borrower or any ERISA Affiliate, (a) any event described in Section 4043(c) of ERISA with respect to a Title IV Plan for which the PBGC has not waived the thirty day notice requirement; (b) the withdrawal of any Borrower or ERISA Affiliate from a Title IV Plan subject to Section 4063 of ERISA during a plan year in which it was a substantial employer, as defined in Section 4001(a)(2) of ERISA; (c) the complete or partial withdrawal of any Borrower or any ERISA Affiliate from any Multiemployer Plan; (d) the filing of a notice of intent to terminate a Title IV Plan or the treatment of a plan amendment as a termination under Section 4041 of ERISA; (e) the institution of proceedings to terminate a Title IV Plan or Multiemployer Plan by the PBGC; (f) the failure by any Borrower or ERISA Affiliate to make when due required contributions to a Multiemployer Plan or Title IV Plan unless such failure is cured within thirty (30) days; (g) any other event or condition that could reasonably be expected to constitute grounds under Section 4042 of ERISA for the termination of, or the appointment of a trustee to administer, any Title IV Plan or Multiemployer Plan or for the imposition of liability under Section 4069 or 4212(c) of ERISA; (h) the termination of a Multiemployer Plan under Section 4041A of ERISA or the reorganization or insolvency of a Multiemployer Plan under Section 4241 or 4245 of ERISA, respectively; (i) the revocation of a Qualified Plan’s qualification or tax exempt status; or (j) the termination of a Plan described in Section 4064 of ERISA.</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Availability</w:t>
      </w:r>
      <w:r>
        <w:rPr>
          <w:rFonts w:ascii="Arial" w:cs="Arial" w:eastAsia="Arial" w:hAnsi="Arial"/>
          <w:sz w:val="18"/>
          <w:szCs w:val="18"/>
          <w:color w:val="auto"/>
        </w:rPr>
        <w:t xml:space="preserve">” means, as of any date of determination, the amount equal to Availability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without duplication the aggregate amount, if any, of all trade payables of the Loan Parties and their Subsidiaries that are due and owing and aged in excess of 90 days and all book overdrafts of the Loan Parties and their Subsidiaries in excess of 90 days.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w:t>
      </w:r>
    </w:p>
    <w:p>
      <w:pPr>
        <w:spacing w:after="0" w:line="225" w:lineRule="exact"/>
        <w:rPr>
          <w:sz w:val="20"/>
          <w:szCs w:val="20"/>
          <w:color w:val="auto"/>
        </w:rPr>
      </w:pPr>
    </w:p>
    <w:p>
      <w:pPr>
        <w:ind w:left="1820" w:hanging="516"/>
        <w:spacing w:after="0"/>
        <w:tabs>
          <w:tab w:leader="none" w:pos="1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Immaterial Subsidiaries;</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8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Subsidiary of a Loan Party to the extent that the burden or cost (including any potential tax liability) of obtaining a guarantee outweighs the benefit afforded thereby as reasonably determined by Borrowers and Agent;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ind w:left="1820" w:hanging="516"/>
        <w:spacing w:after="0"/>
        <w:tabs>
          <w:tab w:leader="none" w:pos="1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FSHCO;</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Foreign Subsidiary that is a CFC;</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Domestic Subsidiary that is a direct or indirect subsidiary of a Foreign Subsidiary that is a CFC;</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not-for-profit subsidiary or captive insurance subsidiary;</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Subsidiary that is (i) not a wholly-owned subsidiary of a Loan Party or (ii) an Unrestricted Subsidiary; or</w:t>
      </w:r>
    </w:p>
    <w:p>
      <w:pPr>
        <w:spacing w:after="0" w:line="225" w:lineRule="exact"/>
        <w:rPr>
          <w:rFonts w:ascii="Arial" w:cs="Arial" w:eastAsia="Arial" w:hAnsi="Arial"/>
          <w:sz w:val="18"/>
          <w:szCs w:val="18"/>
          <w:color w:val="auto"/>
        </w:rPr>
      </w:pPr>
    </w:p>
    <w:p>
      <w:pPr>
        <w:jc w:val="both"/>
        <w:ind w:left="660" w:firstLine="644"/>
        <w:spacing w:after="0" w:line="279" w:lineRule="auto"/>
        <w:tabs>
          <w:tab w:leader="none" w:pos="1839"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Subsidiary that is prohibited by (i) applicable law or (ii) any contractual obligation existing on the Closing Date or on the date any such Subsidiary is acquired (so long as in respect of any such contractual prohibition such prohibition is not incurred in contemplation of such acquisition), in each case from guaranteeing the Obligations (but only for so long as such restriction is continuing) or which would require consent, approval, license or authorization from any Governmental Authority to guarantee the Obligations.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For the avoidance of doubt, no Borrower, nor any Subsidiary which Administrative Borrower has requested to be joined as a Borrower hereunder pursuant to </w:t>
      </w:r>
      <w:r>
        <w:rPr>
          <w:rFonts w:ascii="Arial" w:cs="Arial" w:eastAsia="Arial" w:hAnsi="Arial"/>
          <w:sz w:val="18"/>
          <w:szCs w:val="18"/>
          <w:u w:val="single" w:color="auto"/>
          <w:color w:val="auto"/>
        </w:rPr>
        <w:t>Section 5.11(a)</w:t>
      </w:r>
      <w:r>
        <w:rPr>
          <w:rFonts w:ascii="Arial" w:cs="Arial" w:eastAsia="Arial" w:hAnsi="Arial"/>
          <w:sz w:val="18"/>
          <w:szCs w:val="18"/>
          <w:color w:val="auto"/>
        </w:rPr>
        <w:t>, shall be an Excluded Subsidiary.</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xml:space="preserve">” means, with respect to any Loan Party, any Swap Obligation if, and to the extent that, all or a portion of the guaranty of such Loan Party of (including by virtue of the joint and several liability provisions of </w:t>
      </w:r>
      <w:r>
        <w:rPr>
          <w:rFonts w:ascii="Arial" w:cs="Arial" w:eastAsia="Arial" w:hAnsi="Arial"/>
          <w:sz w:val="17"/>
          <w:szCs w:val="17"/>
          <w:u w:val="single" w:color="auto"/>
          <w:color w:val="auto"/>
        </w:rPr>
        <w:t>Section 2.15</w:t>
      </w:r>
      <w:r>
        <w:rPr>
          <w:rFonts w:ascii="Arial" w:cs="Arial" w:eastAsia="Arial" w:hAnsi="Arial"/>
          <w:sz w:val="17"/>
          <w:szCs w:val="17"/>
          <w:color w:val="auto"/>
        </w:rPr>
        <w:t>),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guaranty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(i) any tax imposed on the net income or net profits of any Lender or any Participant (including any branch profits Taxes), in each case imposed by the jurisdiction (or by any political subdivision or taxing authority thereof) in which such Lender or such Participant is organized or the jurisdiction (or by any political subdivision or taxing authority thereof) in which such Lender’s or such Participant’s principal office is located in or as a result of a present or former connection between such Lender or such Participant and the jurisdiction or taxing authority imposing the tax (other than any such connection arising solely from such Lender or such Participant having executed, delivered or performed its obligations or received payment under, or enforced its rights or remedies under this Agreement or any other Loan Document), (ii) withholding Taxes that would not have been imposed but for a Lender’s or a Participant’s failure to comply with the requirements of </w:t>
      </w:r>
      <w:r>
        <w:rPr>
          <w:rFonts w:ascii="Arial" w:cs="Arial" w:eastAsia="Arial" w:hAnsi="Arial"/>
          <w:sz w:val="17"/>
          <w:szCs w:val="17"/>
          <w:u w:val="single" w:color="auto"/>
          <w:color w:val="auto"/>
        </w:rPr>
        <w:t>Section 16.2</w:t>
      </w:r>
      <w:r>
        <w:rPr>
          <w:rFonts w:ascii="Arial" w:cs="Arial" w:eastAsia="Arial" w:hAnsi="Arial"/>
          <w:sz w:val="17"/>
          <w:szCs w:val="17"/>
          <w:color w:val="auto"/>
        </w:rPr>
        <w:t xml:space="preserve"> of this Agreement, (iii) any United States federal withholding Taxes that would be imposed on amounts payable to a Foreign Lender based upon the applicable withholding rate in effect at the time such Foreign Lender becomes a party to this Agreement (or designates a new lending office, other than a designation made at the request of a Loan Party),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that Excluded Taxes shall not include (A) any amount that such Foreign Lender (or its assignor, if any) was previously entitled to receive pursuant to </w:t>
      </w:r>
      <w:r>
        <w:rPr>
          <w:rFonts w:ascii="Arial" w:cs="Arial" w:eastAsia="Arial" w:hAnsi="Arial"/>
          <w:sz w:val="17"/>
          <w:szCs w:val="17"/>
          <w:u w:val="single" w:color="auto"/>
          <w:color w:val="auto"/>
        </w:rPr>
        <w:t>Section 16.1</w:t>
      </w:r>
      <w:r>
        <w:rPr>
          <w:rFonts w:ascii="Arial" w:cs="Arial" w:eastAsia="Arial" w:hAnsi="Arial"/>
          <w:sz w:val="17"/>
          <w:szCs w:val="17"/>
          <w:color w:val="auto"/>
        </w:rPr>
        <w:t xml:space="preserve"> of this Agreement, if any, with respect to such withholding tax at the time such Foreign Lender becomes a party to this Agreement (or designates a new lending office), and (B) additional United States federal withholding Taxes that may be imposed after the time such Foreign Lender becomes a party to this Agreement (or designates a new lending office), as a result of a change in law, rule, regulation, treaty, order or other decision or other Change in Law with respect to any of the foregoing by any Governmental Authority, (iv) any Taxes imposed under FATCA and (v) any Tax imposed by Ireland on amounts to or for the account of a Lender or Participant, as the case may be, where such Tax would not be imposed if that Lender or Participant, as the case may be, had been an Irish Qualifying Lender but on the date the Lender or Participant, as the case may be, is not or has ceased to be an Irish Qualifying Lender other than as a result of any change after the date it became a Lender under this Agreement in (or in the interpretation, administration, or application of) any law or Irish Tax Treaty, or any published practice or concession of any relevant tax authority and Borrowers are able to demonstrate that the payment could have been made to the Lender or Participant, as the case may be, without such deduction or withholding had that Lender or Participant, as the case may be, complied with its obligations under </w:t>
      </w:r>
      <w:r>
        <w:rPr>
          <w:rFonts w:ascii="Arial" w:cs="Arial" w:eastAsia="Arial" w:hAnsi="Arial"/>
          <w:sz w:val="17"/>
          <w:szCs w:val="17"/>
          <w:u w:val="single" w:color="auto"/>
          <w:color w:val="auto"/>
        </w:rPr>
        <w:t>Section 16.5</w:t>
      </w:r>
      <w:r>
        <w:rPr>
          <w:rFonts w:ascii="Arial" w:cs="Arial" w:eastAsia="Arial" w:hAnsi="Arial"/>
          <w:sz w:val="17"/>
          <w:szCs w:val="17"/>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specified therefor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those letters of credit described on </w:t>
      </w:r>
      <w:r>
        <w:rPr>
          <w:rFonts w:ascii="Arial" w:cs="Arial" w:eastAsia="Arial" w:hAnsi="Arial"/>
          <w:sz w:val="18"/>
          <w:szCs w:val="18"/>
          <w:u w:val="single" w:color="auto"/>
          <w:color w:val="auto"/>
        </w:rPr>
        <w:t>Schedule E-3</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Advances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2.3(d)(iii)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FAA</w:t>
      </w:r>
      <w:r>
        <w:rPr>
          <w:rFonts w:ascii="Arial" w:cs="Arial" w:eastAsia="Arial" w:hAnsi="Arial"/>
          <w:sz w:val="18"/>
          <w:szCs w:val="18"/>
          <w:color w:val="auto"/>
        </w:rPr>
        <w:t>” means the Federal Aviation Administration.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IRC,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IRC, and (c) any intergovernmental agreement entered into by the United States (or any fiscal or regulatory legislation, rules, or practices adopted pursuant to any such intergovernmental agreement entered into in connection therewith).</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 and the rules and regulations thereunder.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that certain fee letter, dated as of even date with this Agreement, among Borrowers and Agent, in form and substance reasonably satisfactory to Agent.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period, a fluctuating interest rate per annum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 (and, if any such rate is below zero, then the rate determined pursuant to this definition shall be deemed to be zero).</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Charges</w:t>
      </w:r>
      <w:r>
        <w:rPr>
          <w:rFonts w:ascii="Arial" w:cs="Arial" w:eastAsia="Arial" w:hAnsi="Arial"/>
          <w:sz w:val="16"/>
          <w:szCs w:val="16"/>
          <w:color w:val="auto"/>
        </w:rPr>
        <w:t>” means, with respect to any fiscal period and with respect to Parent determined on a consolidated basis in accordance with GAAP, the sum, without duplication, of (a) Interest Expense required to be paid (other than interest paid-in-kind, amortization of financing fees, and other non-cash Interest Expense) during such period and (b) scheduled principal payments in respect of Indebtedness that are required to be paid during such period.</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xml:space="preserve">” means, with respect to any fiscal period and with respect to Parent determined on a consolidated basis in accordance with GAAP, the ratio of (a) (i) the sum of (A) EBITDA for such period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Curative Equity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(ii) Unfinanced Capital Expenditures made (to the extent not already incurred in a prior period) or incurred during such period, to (b) (i) Fixed Charges for such period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(ii) all Restricted Payments, other than Restricted Payments permitted pursuant to clauses (a) through (f) of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paid (whether in cash or other property, other than common Equity Interests) during such period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(iii) all federal, state, and local income Taxes paid in cash during such period. For the purposes of calculating Fixed Charge Coverage Ratio for any Reference Period, if at any time during such Reference Period (and after the Closing Date), any Loan Party or any of its Subsidiaries shall have made a Permitted Acquisition, Fixed Charges and Unfinanced Capital Expenditures for such Reference Period shall be calculated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or in such other manner acceptable to Agent as if any such Permitted Acquisition occurred on the first day of such Reference Period.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Flow of Funds Agreement</w:t>
      </w:r>
      <w:r>
        <w:rPr>
          <w:rFonts w:ascii="Arial" w:cs="Arial" w:eastAsia="Arial" w:hAnsi="Arial"/>
          <w:sz w:val="18"/>
          <w:szCs w:val="18"/>
          <w:color w:val="auto"/>
        </w:rPr>
        <w:t>” means a flow of funds agreement, dated as of even date with this Agreement, in form and substance reasonably satisfactory to Agent, executed and delivered by Borrowers and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or Participant that is not a United States person within the meaning of IRC section 7701(a)(30).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direct or indirect subsidiary of any Loan Party that is organized or incorporated under the laws of any jurisdiction other than the United States, any state thereof or the District of Columbia.</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FSHCO</w:t>
      </w:r>
      <w:r>
        <w:rPr>
          <w:rFonts w:ascii="Arial" w:cs="Arial" w:eastAsia="Arial" w:hAnsi="Arial"/>
          <w:sz w:val="18"/>
          <w:szCs w:val="18"/>
          <w:color w:val="auto"/>
        </w:rPr>
        <w:t>” means any direct or indirect Domestic Subsidiary of Parent (other than Borrowers) that has no material assets other than Equity Interests (or Equity Interests and Indebtedness) in one or more Foreign Subsidiaries that are CFCs or other FSHCOs.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Date</w:t>
      </w:r>
      <w:r>
        <w:rPr>
          <w:rFonts w:ascii="Arial" w:cs="Arial" w:eastAsia="Arial" w:hAnsi="Arial"/>
          <w:sz w:val="18"/>
          <w:szCs w:val="18"/>
          <w:color w:val="auto"/>
        </w:rPr>
        <w:t>” means the date on which a Borrowing occurs.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Losses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2.12(b)(ii)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 consistently applied.</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Governing Documents</w:t>
      </w:r>
      <w:r>
        <w:rPr>
          <w:rFonts w:ascii="Arial" w:cs="Arial" w:eastAsia="Arial" w:hAnsi="Arial"/>
          <w:sz w:val="17"/>
          <w:szCs w:val="17"/>
          <w:color w:val="auto"/>
        </w:rPr>
        <w:t>” means, with respect to any Person, the certificate or articles of incorporation, by-laws, constitution, memorandum and articles of association (in the case of any Borrower incorporated in Ireland), or other organizational documents of such Person.</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any nation or any political subdivision thereof, whether at the national, state, territorial, provincial, county,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xml:space="preserve">” means (a) each Person that guaranties all or a portion of the Obligations, including Parent and any other Person that is a “Guarantor” under the Guaranty and Security Agreement, and (b) each other Person that becomes a guarantor after the Closing Date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of this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and Security Agreement</w:t>
      </w:r>
      <w:r>
        <w:rPr>
          <w:rFonts w:ascii="Arial" w:cs="Arial" w:eastAsia="Arial" w:hAnsi="Arial"/>
          <w:sz w:val="18"/>
          <w:szCs w:val="18"/>
          <w:color w:val="auto"/>
        </w:rPr>
        <w:t>” means the Amended and Restated Security Agreement, dated as of even date with this Agreement, in form and substance reasonably satisfactory to Agent, executed and delivered by each of the Loan Parties to Agent.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substances that are defined or listed in, or otherwise classified pursuant to, any applicable laws or regulations as “hazardous substances,” “hazardous materials,” “hazardous wastes,” “toxic substances,” or any other formulation intended to define, list, or classify substances by reason of deleterious properties such as ignitability, corrosivity, reactivity, carcinogenicity, reproductive toxicity, or “EP toxicity”, (b) oil, petroleum, or petroleum derived substances, natural gas, natural gas liquids, synthetic gas, drilling fluids, produced waters, and other wastes associated with the exploration, development, or production of crude oil, natural gas, or geothermal resources, (c) any flammable substances or explosives or any radioactive materials, and (d) asbestos in any form or electrical equipment that contains any oil or dielectric fluid containing levels of polychlorinated biphenyls in excess of 50 parts per million.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w:t>
      </w:r>
      <w:r>
        <w:rPr>
          <w:rFonts w:ascii="Arial" w:cs="Arial" w:eastAsia="Arial" w:hAnsi="Arial"/>
          <w:sz w:val="18"/>
          <w:szCs w:val="18"/>
          <w:color w:val="auto"/>
        </w:rPr>
        <w:t>” means a “swap agreement” as that term is defined in Section 101(53B)(A) of the Bankruptcy Code.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Obligations</w:t>
      </w:r>
      <w:r>
        <w:rPr>
          <w:rFonts w:ascii="Arial" w:cs="Arial" w:eastAsia="Arial" w:hAnsi="Arial"/>
          <w:sz w:val="18"/>
          <w:szCs w:val="18"/>
          <w:color w:val="auto"/>
        </w:rPr>
        <w:t>” means any and all obligations or liabilities, whether absolute or contingent, due or to become due, now existing or hereafter arising, of each Loan Party and its Subsidiaries arising under, owing pursuant to, or existing in respect of Hedge Agreements entered into with one or more of the Hedge Providers.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Provider</w:t>
      </w:r>
      <w:r>
        <w:rPr>
          <w:rFonts w:ascii="Arial" w:cs="Arial" w:eastAsia="Arial" w:hAnsi="Arial"/>
          <w:sz w:val="18"/>
          <w:szCs w:val="18"/>
          <w:color w:val="auto"/>
        </w:rPr>
        <w:t xml:space="preserve">” means any Bank Product Provider that is a party to a Hedge Agreement with a Loan Party or its Subsidiaries or otherwise provides Bank Products under clause (f) of the definition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if, at any time, a Lender ceases to be a Lender under this Agreement (prior to the payment in full of the Obligations), then, from and after the date on which it ceases to be a Lender thereunder, neither it nor any of its Affiliates shall constitute Hedge Providers and the obligations with respect to Hedge Agreements entered into with such former Lender or any of its Affiliates shall no longer constitute Hedge Obligations.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each Subsidiary of a Borrower that is not a Material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Increased Appraisal Event</w:t>
      </w:r>
      <w:r>
        <w:rPr>
          <w:rFonts w:ascii="Arial" w:cs="Arial" w:eastAsia="Arial" w:hAnsi="Arial"/>
          <w:sz w:val="16"/>
          <w:szCs w:val="16"/>
          <w:color w:val="auto"/>
        </w:rPr>
        <w:t>” means if at any time Excess Availability is less than the greater of (a) 20% of the Line Cap, and (b) $20,000,000.</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Increased Reporting Event</w:t>
      </w:r>
      <w:r>
        <w:rPr>
          <w:rFonts w:ascii="Arial" w:cs="Arial" w:eastAsia="Arial" w:hAnsi="Arial"/>
          <w:sz w:val="16"/>
          <w:szCs w:val="16"/>
          <w:color w:val="auto"/>
        </w:rPr>
        <w:t>” means if at any time Excess Availability is less than the greater of (a) 15% of the Line Cap, and (b) $15,000,000.</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Reporting Period</w:t>
      </w:r>
      <w:r>
        <w:rPr>
          <w:rFonts w:ascii="Arial" w:cs="Arial" w:eastAsia="Arial" w:hAnsi="Arial"/>
          <w:sz w:val="18"/>
          <w:szCs w:val="18"/>
          <w:color w:val="auto"/>
        </w:rPr>
        <w:t>” means the period commencing after the continuance of an Increased Reporting Event and continuing until the date when no Increased Reporting Event has occurred for 30 consecutive days.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as to any Person means (a) all obligations of such Person for borrowed money, (b) all obligations of such Person evidenced by bonds, debentures, notes, or other similar instruments and all reimbursement or other obligations in respect of letters of credit, bankers acceptances, or other financial products, (c) all obligations of such Person as a lessee under Capital Leases, (d) all obligations or liabilities of others secured by a Lien on any asset of such Person, irrespective of whether such obligation or liability is assumed, (e) all obligations of such Person to pay the deferred purchase price of assets (other than trade payables incurred in the ordinary course of business and royalty payments payable in the ordinary course of business in respect of non-exclusive licenses) and any earn-out or similar obligations, (f) all monetary obligations of such Person owing under Hedge Agreements (which amount shall be calculated based on the amount that would be payable by such Person if the Hedge Agreement were terminated on the date of determination), (g) any Disqualified Equity Interests of such Person, and (h) any obligation of such Person guaranteeing or intended to guarantee (whether directly or indirectly guaranteed, endorsed, co-made, discounted, or sold with recourse) any obligation of any other Person that constitutes Indebtedness under any of clauses (a) through (g) above. For purposes of this definition, (i) the amount of any Indebtedness represented by a guaranty or other similar instrument shall be the lesser of the principal amount of the obligations guaranteed and still outstanding and the maximum amount for which the guaranteeing Person may be liable pursuant to the terms of the instrument embodying such Indebtedness, and (ii) the amount of any Indebtedness which is limited or is non-recourse to a Person or for which recourse is limited to an identified asset shall be valued at the lesser of (A) if applicable, the limited amount of such obligations, and (B) if applicable, the fair market value of such assets securing such obligation.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any proceeding commenced by or against any Person under any provision of the Bankruptcy Code or under any other state or federal bankruptcy or insolvency law, assignments for the benefit of creditors, formal or informal moratoria, examinership, compositions, extensions generally with creditors, or proceedings seeking reorganization, arrangement, or other similar relief.</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Intercompany Subordination Agreement</w:t>
      </w:r>
      <w:r>
        <w:rPr>
          <w:rFonts w:ascii="Arial" w:cs="Arial" w:eastAsia="Arial" w:hAnsi="Arial"/>
          <w:sz w:val="17"/>
          <w:szCs w:val="17"/>
          <w:color w:val="auto"/>
        </w:rPr>
        <w:t>” means an intercompany subordination agreement, dated as of even date with this Agreement, executed and delivered by each Loan Party, each of its Subsidiaries and Agent, the form and substance of which is reasonably satisfactory to Agent.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for any period, the aggregate of the interest expense of Parent for such period (including fees in respect of any Indebtedness), determined on a consolidated basis in accordance with GAAP.</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each LIBOR Rate Loan, a period commencing on the date of the making of such LIBOR Rate Loan (or the continuation of a LIBOR Rate Loan or the conversion of a Base Rate Loan to a LIBOR Rate Loan) and ending 1, 2, 3 or 6 months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that (a) interest shall accrue at the applicable rate based upon the LIBOR Rate from and including the first day of each Interest Period to, but excluding, the day on which any Interest Period expires, (b) any Interest Period that would end on a day that is not a Business Day shall be extended to the next succeeding Business Day unless such Business Day falls in another calendar month, in which case such Interest Period shall end on the next preceding Business Day, (c)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1, 2, 3 or 6 months after the date on which the Interest Period began, as applicable, and (d) Borrowers may not elect an Interest Period which will end after the Maturity Date.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means inventory (as that term is defined in the Code).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with respect to any Person, (i) any investment by such Person in any other Person (including Affiliates) in the form of loans, guarantees, advances, capital contributions (excluding (a) commission, travel, and similar advances to officers and employees of such Person made in the ordinary course of business, and (b)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accounts receivable arising in the ordinary course of business), any acquisition of all or substantially all of the assets of such other Person (or of any division or business line of such other Person), or (ii) any acquisition of assets by such Person from an unrelated third party in bulk for conversion to Inventory, or to be held as Inventory, in either case consistent with Borrowers’ historical business practices, in a transaction or series of transactions, with an aggregate purchase price in excess of $20,000,000. The amount of any Investment shall be the original cost of such Investment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the cost of all additions thereto, without any adjustment for increases or decreases in value, or write-ups, write-downs, or write-offs with respect to such Investment. The amount of any Investment made with assets or property that is not cash shall be the fair market value thereof.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IRC</w:t>
      </w:r>
      <w:r>
        <w:rPr>
          <w:rFonts w:ascii="Arial" w:cs="Arial" w:eastAsia="Arial" w:hAnsi="Arial"/>
          <w:sz w:val="18"/>
          <w:szCs w:val="18"/>
          <w:color w:val="auto"/>
        </w:rPr>
        <w:t>” means the Internal Revenue Code of 1986, as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Borrower</w:t>
      </w:r>
      <w:r>
        <w:rPr>
          <w:rFonts w:ascii="Arial" w:cs="Arial" w:eastAsia="Arial" w:hAnsi="Arial"/>
          <w:sz w:val="18"/>
          <w:szCs w:val="18"/>
          <w:color w:val="auto"/>
        </w:rPr>
        <w:t>” means (a) a Borrower that is resident in Ireland for the purposes of Irish Tax; or (b) a Borrower that is operating in Ireland through a branch or agency in Ireland with which this Agreement or any Loan Document is connected for the purposes of Irish Tax.</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Qualifying Jurisdiction</w:t>
      </w:r>
      <w:r>
        <w:rPr>
          <w:rFonts w:ascii="Arial" w:cs="Arial" w:eastAsia="Arial" w:hAnsi="Arial"/>
          <w:sz w:val="18"/>
          <w:szCs w:val="18"/>
          <w:color w:val="auto"/>
        </w:rPr>
        <w:t>” means (a) a member state of the European Union other than Ireland; (b) a jurisdiction with which Ireland has entered into an Irish Tax Treaty that has the force of law; or (c) a jurisdiction with which Ireland has entered into an Irish Tax Treaty where that treaty will (on completion of necessary procedures) have the force of law.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Irish Qualifying Lender</w:t>
      </w:r>
      <w:r>
        <w:rPr>
          <w:rFonts w:ascii="Arial" w:cs="Arial" w:eastAsia="Arial" w:hAnsi="Arial"/>
          <w:sz w:val="16"/>
          <w:szCs w:val="16"/>
          <w:color w:val="auto"/>
        </w:rPr>
        <w:t>” means a Lender or Participant, as the case may be, which is beneficially entitled to interest payable to that Lender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 as the case may be, in respect of a Loan Document and is:</w:t>
      </w:r>
    </w:p>
    <w:p>
      <w:pPr>
        <w:spacing w:after="0" w:line="211" w:lineRule="exact"/>
        <w:rPr>
          <w:sz w:val="20"/>
          <w:szCs w:val="20"/>
          <w:color w:val="auto"/>
        </w:rPr>
      </w:pPr>
    </w:p>
    <w:p>
      <w:pPr>
        <w:ind w:left="660" w:firstLine="644"/>
        <w:spacing w:after="0" w:line="277" w:lineRule="auto"/>
        <w:tabs>
          <w:tab w:leader="none" w:pos="188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bank within the meaning of section 246 TCA which is carrying on a bona fide banking business in Ireland for the purposes of section 246(3)(a) TCA and whose lending office is located in Ireland; or</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body corporate:</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5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which, by virtue of the law of an Irish Qualifying Jurisdiction, is resident in the Irish Qualifying Jurisdiction for the purposes of tax and that jurisdiction imposes a tax that generally applies to interest receivable in that jurisdiction by companies from sources outside that jurisdiction; or</w:t>
      </w:r>
    </w:p>
    <w:p>
      <w:pPr>
        <w:spacing w:after="0" w:line="183" w:lineRule="exact"/>
        <w:rPr>
          <w:rFonts w:ascii="Arial" w:cs="Arial" w:eastAsia="Arial" w:hAnsi="Arial"/>
          <w:sz w:val="18"/>
          <w:szCs w:val="18"/>
          <w:color w:val="auto"/>
        </w:rPr>
      </w:pPr>
    </w:p>
    <w:p>
      <w:pPr>
        <w:ind w:left="2560" w:hanging="608"/>
        <w:spacing w:after="0"/>
        <w:tabs>
          <w:tab w:leader="none" w:pos="25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which is a U.S. company which is incorporated in the United States and is taxed in the United States on its worldwide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income; or</w:t>
      </w:r>
    </w:p>
    <w:p>
      <w:pPr>
        <w:spacing w:after="0" w:line="210" w:lineRule="exact"/>
        <w:rPr>
          <w:rFonts w:ascii="Arial" w:cs="Arial" w:eastAsia="Arial" w:hAnsi="Arial"/>
          <w:sz w:val="16"/>
          <w:szCs w:val="16"/>
          <w:color w:val="auto"/>
        </w:rPr>
      </w:pPr>
    </w:p>
    <w:p>
      <w:pPr>
        <w:jc w:val="both"/>
        <w:ind w:left="1300" w:firstLine="652"/>
        <w:spacing w:after="0" w:line="263" w:lineRule="auto"/>
        <w:tabs>
          <w:tab w:leader="none" w:pos="263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 which is a U.S. limited liability company where the ultimate recipients of the interest would themselves be Irish Qualifying Lenders under subclauses (i), (ii) or (iv) of this clause (b) and (B) business is conducted through such U.S. limited liability company for market reasons and not for tax avoidance purposes; or</w:t>
      </w:r>
    </w:p>
    <w:p>
      <w:pPr>
        <w:spacing w:after="0" w:line="183" w:lineRule="exact"/>
        <w:rPr>
          <w:rFonts w:ascii="Arial" w:cs="Arial" w:eastAsia="Arial" w:hAnsi="Arial"/>
          <w:sz w:val="18"/>
          <w:szCs w:val="18"/>
          <w:color w:val="auto"/>
        </w:rPr>
      </w:pPr>
    </w:p>
    <w:p>
      <w:pPr>
        <w:jc w:val="both"/>
        <w:ind w:left="1300" w:firstLine="652"/>
        <w:spacing w:after="0" w:line="275" w:lineRule="auto"/>
        <w:tabs>
          <w:tab w:leader="none" w:pos="2542" w:val="left"/>
        </w:tabs>
        <w:numPr>
          <w:ilvl w:val="1"/>
          <w:numId w:val="52"/>
        </w:numPr>
        <w:rPr>
          <w:rFonts w:ascii="Arial" w:cs="Arial" w:eastAsia="Arial" w:hAnsi="Arial"/>
          <w:sz w:val="17"/>
          <w:szCs w:val="17"/>
          <w:color w:val="auto"/>
        </w:rPr>
      </w:pPr>
      <w:r>
        <w:rPr>
          <w:rFonts w:ascii="Arial" w:cs="Arial" w:eastAsia="Arial" w:hAnsi="Arial"/>
          <w:sz w:val="17"/>
          <w:szCs w:val="17"/>
          <w:color w:val="auto"/>
        </w:rPr>
        <w:t>where the interest (A) is exempted from the charge to Irish income tax under an Irish Tax Treaty in force on the date the interest is paid or (B) would be exempted from the charge to Irish income tax if an Irish Tax Treaty which has been signed but is not yet in force had the force of law on the date the interest is paid, except where, in respect of each of subclauses (i) through (iv) of this clause (c), interest payable to that body corporate in respect of a Loan Document is paid in connection with a trade or business which is carried on in Ireland by that body corporate through a branch or agency in Ireland; 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jc w:val="both"/>
        <w:ind w:left="660" w:firstLine="644"/>
        <w:spacing w:after="0" w:line="286" w:lineRule="auto"/>
        <w:tabs>
          <w:tab w:leader="none" w:pos="185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body corporate which advances money in the ordinary course of a trade which includes the lending of money where the interest payable on monies so advanced is taken into account in computing the trading income of such body corporate and such body corporate has complied with the notification requirements under section 246(5)(a) TCA and whose lending office is located in Ireland; or</w:t>
      </w:r>
    </w:p>
    <w:p>
      <w:pPr>
        <w:spacing w:after="0" w:line="165" w:lineRule="exact"/>
        <w:rPr>
          <w:rFonts w:ascii="Arial" w:cs="Arial" w:eastAsia="Arial" w:hAnsi="Arial"/>
          <w:sz w:val="17"/>
          <w:szCs w:val="17"/>
          <w:color w:val="auto"/>
        </w:rPr>
      </w:pPr>
    </w:p>
    <w:p>
      <w:pPr>
        <w:ind w:left="1820" w:hanging="516"/>
        <w:spacing w:after="0"/>
        <w:tabs>
          <w:tab w:leader="none" w:pos="1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qualifying company within the meaning of section 110 TCA and whose lending office is located in Ireland; or</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investment undertaking within the meaning of section 739B TCA and whose lending office is located in Ireland; or</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exempt approved scheme within the meaning of section 774 TCA and whose lending office is located in Ireland; or</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8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extent that the Borrower is a qualifying company (within the meaning of section 110 TCA), a person that is a resident of an Irish Qualifying Jurisdiction for the purposes of tax (by virtue of the law of that jurisdiction), provided that interest payable to that person in respect of a Loan Document is not paid in connection with a trade or business which is carried on by that person in Ireland through a branch or agency in Ireland.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Tax Treaty</w:t>
      </w:r>
      <w:r>
        <w:rPr>
          <w:rFonts w:ascii="Arial" w:cs="Arial" w:eastAsia="Arial" w:hAnsi="Arial"/>
          <w:sz w:val="18"/>
          <w:szCs w:val="18"/>
          <w:color w:val="auto"/>
        </w:rPr>
        <w:t>” means a double taxation treaty entered into by Ireland.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Treaty State</w:t>
      </w:r>
      <w:r>
        <w:rPr>
          <w:rFonts w:ascii="Arial" w:cs="Arial" w:eastAsia="Arial" w:hAnsi="Arial"/>
          <w:sz w:val="18"/>
          <w:szCs w:val="18"/>
          <w:color w:val="auto"/>
        </w:rPr>
        <w:t>” means a jurisdiction which has entered into an Irish Tax Treaty which has the force of law which makes provision for full exemption from tax imposed by Ireland on 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ISP</w:t>
      </w:r>
      <w:r>
        <w:rPr>
          <w:rFonts w:ascii="Arial" w:cs="Arial" w:eastAsia="Arial" w:hAnsi="Arial"/>
          <w:sz w:val="16"/>
          <w:szCs w:val="16"/>
          <w:color w:val="auto"/>
        </w:rPr>
        <w:t>” means, with respect to any Letter of Credit, the International Standby Practices 1998 (International Chamber of Commerce Publication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590) and any version or revision thereof accepted by the Issuing Bank for use.</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Document</w:t>
      </w:r>
      <w:r>
        <w:rPr>
          <w:rFonts w:ascii="Arial" w:cs="Arial" w:eastAsia="Arial" w:hAnsi="Arial"/>
          <w:sz w:val="17"/>
          <w:szCs w:val="17"/>
          <w:color w:val="auto"/>
        </w:rPr>
        <w:t>” means, with respect to any Letter of Credit, a letter of credit application, a letter of credit agreement, or any other document, agreement or instrument entered into (or to be entered into) by a Borrower in favor of Issuing Bank and relating to such Letter of Credit.</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Wells Fargo or any other Lender that, at the request of Borrowers and with the consent of Agent, agrees, in such Lender’s sole discretion, to become an Issuing Bank for the purpose of issuing Letters of Credit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of this Agreement, and Issuing Bank shall be a Lender.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w:t>
      </w:r>
      <w:r>
        <w:rPr>
          <w:rFonts w:ascii="Arial" w:cs="Arial" w:eastAsia="Arial" w:hAnsi="Arial"/>
          <w:sz w:val="18"/>
          <w:szCs w:val="18"/>
          <w:color w:val="auto"/>
        </w:rPr>
        <w:t xml:space="preserve">” means a joinder agreement substantially in the form of </w:t>
      </w:r>
      <w:r>
        <w:rPr>
          <w:rFonts w:ascii="Arial" w:cs="Arial" w:eastAsia="Arial" w:hAnsi="Arial"/>
          <w:sz w:val="18"/>
          <w:szCs w:val="18"/>
          <w:u w:val="single" w:color="auto"/>
          <w:color w:val="auto"/>
        </w:rPr>
        <w:t>Exhibit J-1</w:t>
      </w:r>
      <w:r>
        <w:rPr>
          <w:rFonts w:ascii="Arial" w:cs="Arial" w:eastAsia="Arial" w:hAnsi="Arial"/>
          <w:sz w:val="18"/>
          <w:szCs w:val="18"/>
          <w:color w:val="auto"/>
        </w:rPr>
        <w:t xml:space="preserve"> to this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Landlord Reserve</w:t>
      </w:r>
      <w:r>
        <w:rPr>
          <w:rFonts w:ascii="Arial" w:cs="Arial" w:eastAsia="Arial" w:hAnsi="Arial"/>
          <w:sz w:val="17"/>
          <w:szCs w:val="17"/>
          <w:color w:val="auto"/>
        </w:rPr>
        <w:t>” means, as to each location (a) located in a state that provides under applicable law for Liens on personal property at a leased location in favor of a landlord, bailee, warehouseman or other property owner securing rent, storage charges or fees due to such Person, (b) at which a Borrower has Whole Aircraft, Whole Engines, Parts or books and records and (c) as to which a Collateral Access Agreement has not been received by Agent, a reserve in an amount equal to 3 months’ rent, storage charges, fees or other amounts under the lease or other applicable agreement relative to such location or, if greater and Agent so elects, the number of months’ rent, storage charges, fess or other amounts for which the landlord, bailee, warehouseman or other property owner will have, under applicable law, a Lien in the Whole Aircraft, Whole Engines or Parts of such Borrower to secure the payment of such amounts under the lease or other applicable agreement relative to such location.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w:t>
      </w:r>
      <w:r>
        <w:rPr>
          <w:rFonts w:ascii="Arial" w:cs="Arial" w:eastAsia="Arial" w:hAnsi="Arial"/>
          <w:sz w:val="18"/>
          <w:szCs w:val="18"/>
          <w:color w:val="auto"/>
        </w:rPr>
        <w:t>” means a lease agreement relating to any Whole Aircraft or any Whole Engine, between a Borrower (as lessor), and a Lessee (including another Borrower), in each case together with all schedules, supplements and amendments thereto and each other document, agreement and instrument related thereto.</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 Transaction Liens</w:t>
      </w:r>
      <w:r>
        <w:rPr>
          <w:rFonts w:ascii="Arial" w:cs="Arial" w:eastAsia="Arial" w:hAnsi="Arial"/>
          <w:sz w:val="16"/>
          <w:szCs w:val="16"/>
          <w:color w:val="auto"/>
        </w:rPr>
        <w:t>” means any Lease, and the respective rights of a relevant Borrower and the Lessee or any third party that owns or leases equipment installed on a Whole Aircraft or Whole Engine, as applicable, under any Lease relating to such Whole Aircraft or Whole Engine, including any assignment of the relevant warranties relating thereto, and the rights of any sublessee under any permitted sublease relating to such Lease.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has the meaning set forth in the preamble to this Agreement, shall include Issuing Bank and the Swing Lender, and shall also include any other Person made a party to this Agreement pursuant to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of this Agreement and “</w:t>
      </w:r>
      <w:r>
        <w:rPr>
          <w:rFonts w:ascii="Arial" w:cs="Arial" w:eastAsia="Arial" w:hAnsi="Arial"/>
          <w:sz w:val="18"/>
          <w:szCs w:val="18"/>
          <w:u w:val="single" w:color="auto"/>
          <w:color w:val="auto"/>
        </w:rPr>
        <w:t>Lenders</w:t>
      </w:r>
      <w:r>
        <w:rPr>
          <w:rFonts w:ascii="Arial" w:cs="Arial" w:eastAsia="Arial" w:hAnsi="Arial"/>
          <w:sz w:val="18"/>
          <w:szCs w:val="18"/>
          <w:color w:val="auto"/>
        </w:rPr>
        <w:t>” means each of the Lenders or any one or more of them.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Group</w:t>
      </w:r>
      <w:r>
        <w:rPr>
          <w:rFonts w:ascii="Arial" w:cs="Arial" w:eastAsia="Arial" w:hAnsi="Arial"/>
          <w:sz w:val="18"/>
          <w:szCs w:val="18"/>
          <w:color w:val="auto"/>
        </w:rPr>
        <w:t>” means each of the Lenders (including Issuing Bank and the Swing Lender) and Agent, or any one or more of them.</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Group Expenses</w:t>
      </w:r>
      <w:r>
        <w:rPr>
          <w:rFonts w:ascii="Arial" w:cs="Arial" w:eastAsia="Arial" w:hAnsi="Arial"/>
          <w:sz w:val="16"/>
          <w:szCs w:val="16"/>
          <w:color w:val="auto"/>
        </w:rPr>
        <w:t xml:space="preserve">” means all (a) costs or expenses (including Taxes and insurance premiums) required to be paid by any Loan Party or its Subsidiaries under any of the Loan Documents that are paid, advanced, or incurred by the Lender Group, (b) documented out-of-pocket fees or charges paid or incurred by Agent in connection with the Lender Group’s transactions with each Loan Party and its Subsidiaries under any of the Loan Documents, including, photocopying, notarization, couriers and messengers, telecommunication, public record searches, filing fees, recording fees, publication, real estate surveys, real estate title policies and endorsements, and environmental audits, (c) Agent’s customary fees and charges imposed or incurred in connection with any background checks or OFAC/PEP searches related to any Loan Party or its Subsidiaries, (d) Agent’s customary fees and charges (as adjusted from time to time) with respect to the disbursement of funds (or the receipt of funds) to or for the account of any Borrower (whether by wire transfer or otherwise), together with any out-of-pocket costs and expenses incurred in connection therewith, (e) customary charges imposed or incurred by Agent resulting from the dishonor of checks payable by or to any Loan Party, (f) reasonable, documented out-of-pocket costs and expenses paid or incurred by the Lender Group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(g) field examination, appraisal, and valuation fees and expenses of Agent related to any field examinations, appraisals, or valuation to the extent of the fees and charges (and up to the amount of any limitation) provided in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of this Agreement, (h) Agent’s and Lenders’ reasonable, documented costs and expenses (including reasonable and documented attorneys’ fees and expenses) relative to third party claims or any other lawsuit or adverse proceeding paid or incurred, whether in enforcing or defending the Loan Documents or otherwise in connection with the transactions contemplated by the Loan Documents, Agent’s Liens in and to the Collateral, or the Lender Group’s relationship with any Loan Party or any of its Subsidiaries, (i) Agent’s reasonable and documented costs and expenses (including reasonable and documented attorneys’ fees and due diligence expenses) incurred in advising, structuring, drafting, reviewing, administering (including travel, meals, and lodging), syndicating (including reasonable costs and expenses relative to CUSIP, DXSyndicate™, SyndTrak or other communication costs incurred in connection with a syndication of the loan facilities), or amending, waiving, or modifying the Loan Documents, and (j) Agent’s and each Lender’s reasonable and documented costs and expenses (including reasonable and documented attorneys, accountants, consultants, and other advisors fees and expenses) incurred in terminating, enforcing (including attorneys, accountants, consultants, and other advisors fees and expenses incurred in connection with a “workout,” a “restructuring,” or an Insolvency 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Group Representatives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17.9</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Person</w:t>
      </w:r>
      <w:r>
        <w:rPr>
          <w:rFonts w:ascii="Arial" w:cs="Arial" w:eastAsia="Arial" w:hAnsi="Arial"/>
          <w:sz w:val="18"/>
          <w:szCs w:val="18"/>
          <w:color w:val="auto"/>
        </w:rPr>
        <w:t>” means, with respect to any Lender, such Lender, together with such Lender’s Affiliates, officers, directors, employees, attorneys, and agents.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the office or offices through which the Lender will perform its obligations under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Lessee</w:t>
      </w:r>
      <w:r>
        <w:rPr>
          <w:rFonts w:ascii="Arial" w:cs="Arial" w:eastAsia="Arial" w:hAnsi="Arial"/>
          <w:sz w:val="18"/>
          <w:szCs w:val="18"/>
          <w:color w:val="auto"/>
        </w:rPr>
        <w:t>” means any lessee party to a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letter of credit (as that term is defined in the Code) issued by Issuing Bank.</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Collateralization</w:t>
      </w:r>
      <w:r>
        <w:rPr>
          <w:rFonts w:ascii="Arial" w:cs="Arial" w:eastAsia="Arial" w:hAnsi="Arial"/>
          <w:sz w:val="18"/>
          <w:szCs w:val="18"/>
          <w:color w:val="auto"/>
        </w:rPr>
        <w:t xml:space="preserve">” means either (a) providing cash collateral (pursuant to documentation reasonably satisfactory to Agent (including that Agent has a first priority perfected Lien in such cash collateral), including provisions that specify that the Letter of Credit Fees and all commissions, fees, charges and expenses provided for in </w:t>
      </w:r>
      <w:r>
        <w:rPr>
          <w:rFonts w:ascii="Arial" w:cs="Arial" w:eastAsia="Arial" w:hAnsi="Arial"/>
          <w:sz w:val="18"/>
          <w:szCs w:val="18"/>
          <w:u w:val="single" w:color="auto"/>
          <w:color w:val="auto"/>
        </w:rPr>
        <w:t>Section 2.11(k)</w:t>
      </w:r>
      <w:r>
        <w:rPr>
          <w:rFonts w:ascii="Arial" w:cs="Arial" w:eastAsia="Arial" w:hAnsi="Arial"/>
          <w:sz w:val="18"/>
          <w:szCs w:val="18"/>
          <w:color w:val="auto"/>
        </w:rPr>
        <w:t xml:space="preserve"> of this Agreement (including any fronting fees) will continue to accrue while the Letters of Credit are outstanding) to be held by Agent for the benefit of the Revolving Lenders in an amount equal to 105% of the then existing Letter of Credit Usage, (b) delivering to Agent documentation executed by all beneficiaries under the Letters of Credit, in form and substance reasonably satisfactory to Agent and Issuing Bank, terminating all of such beneficiaries’ rights under the Letters of Credit, or (c) providing Agent with a standby letter of credit, in form and substance reasonably satisfactory to Agent, from a commercial bank acceptable to Agent (in its sole discretion) in an amount equal to 105% of the then existing Letter of Credit Usage (it being understood that the Letter of Credit Fee and all fronting fees set forth in this Agreement will continue to accrue while the Letters of Credit are outstanding and that any such fees that accrue must be an amount that can be drawn under any such standby letter of credit).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Disbursement</w:t>
      </w:r>
      <w:r>
        <w:rPr>
          <w:rFonts w:ascii="Arial" w:cs="Arial" w:eastAsia="Arial" w:hAnsi="Arial"/>
          <w:sz w:val="18"/>
          <w:szCs w:val="18"/>
          <w:color w:val="auto"/>
        </w:rPr>
        <w:t>” means a payment made by Issuing Bank pursuant to a Letter of Credit.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Exposure</w:t>
      </w:r>
      <w:r>
        <w:rPr>
          <w:rFonts w:ascii="Arial" w:cs="Arial" w:eastAsia="Arial" w:hAnsi="Arial"/>
          <w:sz w:val="18"/>
          <w:szCs w:val="18"/>
          <w:color w:val="auto"/>
        </w:rPr>
        <w:t xml:space="preserve">” means, as of any date of determination with respect to any Lender, such Lender’s participation in the Letter of Credit Usage pursuant to </w:t>
      </w:r>
      <w:r>
        <w:rPr>
          <w:rFonts w:ascii="Arial" w:cs="Arial" w:eastAsia="Arial" w:hAnsi="Arial"/>
          <w:sz w:val="18"/>
          <w:szCs w:val="18"/>
          <w:u w:val="single" w:color="auto"/>
          <w:color w:val="auto"/>
        </w:rPr>
        <w:t>Section 2.11(e)</w:t>
      </w:r>
      <w:r>
        <w:rPr>
          <w:rFonts w:ascii="Arial" w:cs="Arial" w:eastAsia="Arial" w:hAnsi="Arial"/>
          <w:sz w:val="18"/>
          <w:szCs w:val="18"/>
          <w:color w:val="auto"/>
        </w:rPr>
        <w:t xml:space="preserve"> on such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Indemnified Costs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of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Related Person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$10,000,000.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Usage</w:t>
      </w:r>
      <w:r>
        <w:rPr>
          <w:rFonts w:ascii="Arial" w:cs="Arial" w:eastAsia="Arial" w:hAnsi="Arial"/>
          <w:sz w:val="18"/>
          <w:szCs w:val="18"/>
          <w:color w:val="auto"/>
        </w:rPr>
        <w:t xml:space="preserve">” means, as of any date of determination, the sum of (a) the aggregate undrawn amount of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outstanding reimbursement obligations with respect to Letters of Credit which remain unreimbursed or which have not been paid through a Revolving Loan.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Deadline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2.12(b)(i)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Notice</w:t>
      </w:r>
      <w:r>
        <w:rPr>
          <w:rFonts w:ascii="Arial" w:cs="Arial" w:eastAsia="Arial" w:hAnsi="Arial"/>
          <w:sz w:val="18"/>
          <w:szCs w:val="18"/>
          <w:color w:val="auto"/>
        </w:rPr>
        <w:t xml:space="preserve">” means a written notice in the form of </w:t>
      </w:r>
      <w:r>
        <w:rPr>
          <w:rFonts w:ascii="Arial" w:cs="Arial" w:eastAsia="Arial" w:hAnsi="Arial"/>
          <w:sz w:val="18"/>
          <w:szCs w:val="18"/>
          <w:u w:val="single" w:color="auto"/>
          <w:color w:val="auto"/>
        </w:rPr>
        <w:t>Exhibit L-1</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Option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Rate</w:t>
      </w:r>
      <w:r>
        <w:rPr>
          <w:rFonts w:ascii="Arial" w:cs="Arial" w:eastAsia="Arial" w:hAnsi="Arial"/>
          <w:sz w:val="16"/>
          <w:szCs w:val="16"/>
          <w:color w:val="auto"/>
        </w:rPr>
        <w:t>” means the rate per annum as published by ICE Benchmark Administration Limited (or any successor page or other commercially available source as Agent may designate from time to time) as of 11:00 a.m., London time, two Business Days prior to the commencement of the requested Interest Period, for a term, and in an amount, comparable to the Interest Period and the amount of the LIBOR Rate Loan requested (whether as an initial LIBOR Rate Loan or as a continuation of a LIBOR Rate Loan or as a conversion of a Base Rate Loan to a LIBOR Rate Loan) by Borrowers in accordance with this Agreement (and, if any such published rate is below zero, then the rate determined pursuant to this sentence shall be deemed to be zero). Each determination of the LIBOR Rate shall be made by Agent and shall be conclusive in the absence of manifest error.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Rate Loan</w:t>
      </w:r>
      <w:r>
        <w:rPr>
          <w:rFonts w:ascii="Arial" w:cs="Arial" w:eastAsia="Arial" w:hAnsi="Arial"/>
          <w:sz w:val="17"/>
          <w:szCs w:val="17"/>
          <w:color w:val="auto"/>
        </w:rPr>
        <w:t>” means each portion of a Revolving Loan that bears interest at a rate determined by reference to the LIBOR Rate.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 Margin</w:t>
      </w:r>
      <w:r>
        <w:rPr>
          <w:rFonts w:ascii="Arial" w:cs="Arial" w:eastAsia="Arial" w:hAnsi="Arial"/>
          <w:sz w:val="18"/>
          <w:szCs w:val="18"/>
          <w:color w:val="auto"/>
        </w:rPr>
        <w:t>” means the Revolving Loan LIBOR Rate Margin.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Perfection Requirements</w:t>
      </w:r>
      <w:r>
        <w:rPr>
          <w:rFonts w:ascii="Arial" w:cs="Arial" w:eastAsia="Arial" w:hAnsi="Arial"/>
          <w:sz w:val="18"/>
          <w:szCs w:val="18"/>
          <w:color w:val="auto"/>
        </w:rPr>
        <w:t>” has the meaning specified therefor in the Guaranty and Security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Line Cap</w:t>
      </w:r>
      <w:r>
        <w:rPr>
          <w:rFonts w:ascii="Arial" w:cs="Arial" w:eastAsia="Arial" w:hAnsi="Arial"/>
          <w:sz w:val="18"/>
          <w:szCs w:val="18"/>
          <w:color w:val="auto"/>
        </w:rPr>
        <w:t>” means, as of any date of determination, the lesser of (a) the Maximum Revolver Amount, and (b) the Borrowing Base as of such date of determination.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any Revolving Loan, Swing Loan or Extraordinary Advance made (or to be made) 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Account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Control Agreements, the Copyright Security Agreement, any Borrowing Base Certificate, the Fee Letter, the Guaranty and Security Agreement, any Intercompany Subordination Agreement, any Issuer Documents, the Letters of Credit, the Mortgages, the Patent Security Agreement, any Subordination Agreement, the Trademark Security Agreement, any note or notes executed by Borrowers in connection with this Agreement and payable to any member of the Lender Group, each Loan Document as defined in and delivered in connection with the Existing Credit Agreement that remains in existence on and after the Closing Date and any other instrument or agreement entered into, now or in the future, by any Loan Party or any of its Subsidiaries and any member of the Lender Group in connection with this Agreement (but specifically excluding Bank Product Agreements).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any Borrower or any Guarantor.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Agreement</w:t>
      </w:r>
      <w:r>
        <w:rPr>
          <w:rFonts w:ascii="Arial" w:cs="Arial" w:eastAsia="Arial" w:hAnsi="Arial"/>
          <w:sz w:val="18"/>
          <w:szCs w:val="18"/>
          <w:color w:val="auto"/>
        </w:rPr>
        <w:t>” means the Management Services Agreement, dated as of January 11, 2010, by and between Administrative Borrower, Parent, and Sponsor.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as defined in Regulation U of the Board of Governors as in effect from time to time.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a material adverse effect in the business, operations, results of operations, assets, liabilities or financial condition of the Loan Parties and their Subsidiaries, taken as a whole, (b) a material impairment of the Loan Parties’ and their Subsidiaries’ ability to perform their obligations under the Loan Documents to which they are parties or of the Lender Group’s ability to enforce the Obligations or realize upon the Collateral (other than as a result of an action taken or not taken that is solely in the control of Agent), or (c) a material impairment of the legality, validity, binding effect or enforceability any Loan Party of any Loan Document to which it is a party.</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with respect to any Person, each contract or agreement, the loss of which could reasonably be expected to result in a Material Adverse Effect.</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means (a) each Borrower, and (b) each Subsidiary of a Loan Party that (i) owns at least 2.50% of the consolidated total assets of the Loan Parties and their Subsidiaries, (ii) generates at least 2.50% of the consolidated revenues of the Loan Parties and their Subsidiaries, (iii) is the owner of Equity Interests of any Subsidiary of a Loan Party that otherwise constitutes a Material Subsidiary, or (iv) any group comprising Subsidiaries of a Loan Party that each would not have been a Material Subsidiary under clauses (i), (ii), or (iii) but that, taken together, had revenues or total assets in excess of 2.50% of the consolidated revenues or total assets, as applicable, of the Loan Parties and their Subsidiaries.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July 20, 2021.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Revolver Amount</w:t>
      </w:r>
      <w:r>
        <w:rPr>
          <w:rFonts w:ascii="Arial" w:cs="Arial" w:eastAsia="Arial" w:hAnsi="Arial"/>
          <w:sz w:val="18"/>
          <w:szCs w:val="18"/>
          <w:color w:val="auto"/>
        </w:rPr>
        <w:t xml:space="preserve">” means $110,000,000, decreased by the amount of reductions in the Revolver Commitments made in accordance with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has the meaning specified therefor in the definition of Cash Equivalents.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Mortgages</w:t>
      </w:r>
      <w:r>
        <w:rPr>
          <w:rFonts w:ascii="Arial" w:cs="Arial" w:eastAsia="Arial" w:hAnsi="Arial"/>
          <w:sz w:val="16"/>
          <w:szCs w:val="16"/>
          <w:color w:val="auto"/>
        </w:rPr>
        <w:t>” means each of the Aircraft Mortgages, Engine Mortgages and other mortgages, deeds of trust, leasehold mortgages, leasehold deeds of trust, collateral assignments of leases or other security documents (including, without limitation, security documents that encumber the Real Property Collateral) now existing or hereafter entered into and delivered by any Borrower or any trustee or guarantor for the benefit of any Borrower to Agent, on behalf of itself and the other Lenders, from time to time, with respect to any Collateral, all in form and substance reasonably satisfactory to Agent.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w:t>
      </w:r>
      <w:r>
        <w:rPr>
          <w:rFonts w:ascii="Arial" w:cs="Arial" w:eastAsia="Arial" w:hAnsi="Arial"/>
          <w:sz w:val="18"/>
          <w:szCs w:val="18"/>
          <w:u w:val="single" w:color="auto"/>
          <w:color w:val="auto"/>
        </w:rPr>
        <w:t>multiemployer plan</w:t>
      </w:r>
      <w:r>
        <w:rPr>
          <w:rFonts w:ascii="Arial" w:cs="Arial" w:eastAsia="Arial" w:hAnsi="Arial"/>
          <w:sz w:val="18"/>
          <w:szCs w:val="18"/>
          <w:color w:val="auto"/>
        </w:rPr>
        <w:t>” as defined in Section 4001(a)(3) of ERISA, and to which any Borrower or ERISA Affiliate is making, is obligated to make or has made or been obligated to make contributions or has any unsatisfied liability on behalf of participants who are or were employed by any Borrower or ERISA Affiliate.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NOLV</w:t>
      </w:r>
      <w:r>
        <w:rPr>
          <w:rFonts w:ascii="Arial" w:cs="Arial" w:eastAsia="Arial" w:hAnsi="Arial"/>
          <w:sz w:val="18"/>
          <w:szCs w:val="18"/>
          <w:color w:val="auto"/>
        </w:rPr>
        <w:t xml:space="preserve">” means, as of any date of determination, with respect to Eligible Whole Aircraft Collateral, Eligible Whole Engine Collateral or Eligible Parts of any Person, the value of such Eligible Whole Aircraft Collateral, Eligible Whole Engine Collateral or Eligible Parts that is estimated to be recoverable in an orderly liquidation of such Eligible Whole Aircraft Collateral, Eligible Whole Engine Collateral or Eligible Parts occurring within a period of eighteen (18) months from the date of the applicable Acceptable Appraisal, net of all associated costs and expenses of such liquidation, as determined based upon the most recent Acceptable Appraisal of Whole Aircraft, Whole Engines or Parts,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Acceptable Appraisal does not provide the costs and expenses of such liquidation on an item by item basis, then costs and expenses of liquidation for each item of Eligible Whole Aircraft Collateral, Eligible Whole Engine Collateral or Eligible Parts will be such amount as determined by Agent in its Permitted Discretion.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14.2(a)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each Lender other than a Defaulting Lender.</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means (a) all loans (including the Revolving Loans (inclusive of Extraordinary Advances and Swing Loans)), debts, principal, interest (including any interest that accrues after the commencement of an Insolvency Proceeding, regardless of whether allowed or allowable in whole or in part as a claim in any such Insolvency Proceeding), reimbursement or indemnification obligations with respect to Letters of Credit (irrespective of whether contingent), premiums, liabilities (including all amounts charged to the Loan Account pursuant to this Agreement), obligations (including indemnification obligations), fees (including the fees provided for in the Fee Letter), Lender Group Expenses (including any fees or expenses that accrue after the commencement of an Insolvency Proceeding, regardless of whether allowed or allowable in whole or in part as a claim in any such Insolvency Proceeding), guaranties, and all covenants and duties of any other kind and description owing by any Loan Party arising out of, under, pursuant to, in connection with, or evidenced by this Agreement or any of the other Loan Documents and irrespective of whether for the payment of money, whether direct or indirect, absolute or contingent, due or to become due, now existing or hereafter arising, and including all interest not paid when due and all other expenses or other amounts that any Loan Party is required to pay or reimburse by the Loan Documents or by law or otherwise in connection with the Loan Documents, and (b) all Bank Product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anything to the contrary contained in the foregoing notwithstanding, the Obligations shall exclude any Excluded Swap Obligation. Without limiting the generality of the foregoing, the Obligations of Borrowers under the Loan Documents include the obligation to pay (i) the principal of the Revolving Loans, (ii) interest accrued on the Revolving Loans, (iii) the amount necessary to reimburse Issuing Bank for amounts paid or payable pursuant to Letters of Credit, (iv) Letter of Credit commissions, fees (including fronting fees) and charges, (v) Lender Group Expenses, (vi) fees payable under this Agreement or any of the other Loan Documents, and (vii) indemnities and other amounts payable by any Loan Party under any Loan Document. Any reference in this Agreement or in the Loan Documents to the Obligations shall include all or any portion thereof and any extensions, modifications, renewals, or alterations thereof, both prior and subsequent to any Insolvency Proceeding.</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Originating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13.1(e)</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with respect to an assignment of all or any portion of the Obligations, the Commitments, and any other rights and interests under the Loan Documents (other than an assignment made pursuant to </w:t>
      </w:r>
      <w:r>
        <w:rPr>
          <w:rFonts w:ascii="Arial" w:cs="Arial" w:eastAsia="Arial" w:hAnsi="Arial"/>
          <w:sz w:val="17"/>
          <w:szCs w:val="17"/>
          <w:u w:val="single" w:color="auto"/>
          <w:color w:val="auto"/>
        </w:rPr>
        <w:t>Section 14.2</w:t>
      </w:r>
      <w:r>
        <w:rPr>
          <w:rFonts w:ascii="Arial" w:cs="Arial" w:eastAsia="Arial" w:hAnsi="Arial"/>
          <w:sz w:val="17"/>
          <w:szCs w:val="17"/>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w:t>
      </w:r>
      <w:r>
        <w:rPr>
          <w:rFonts w:ascii="Arial" w:cs="Arial" w:eastAsia="Arial" w:hAnsi="Arial"/>
          <w:sz w:val="18"/>
          <w:szCs w:val="18"/>
          <w:color w:val="auto"/>
        </w:rPr>
        <w:t xml:space="preserve">” means, as of any date of determination, that the Revolver Usage is greater than any of the limitations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specified therefor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13.1(e)</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13.1(i)</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Parts</w:t>
      </w:r>
      <w:r>
        <w:rPr>
          <w:rFonts w:ascii="Arial" w:cs="Arial" w:eastAsia="Arial" w:hAnsi="Arial"/>
          <w:sz w:val="18"/>
          <w:szCs w:val="18"/>
          <w:color w:val="auto"/>
        </w:rPr>
        <w:t>” means any as removed, overhauled, serviceable, rotatable, repairable or expendable Whole Aircraft or Whole Engine parts, ground service equipment and tooling and all Inventory of Whole Aircraft or Whole Engines that are designated for disassembly, that are within the scope of the definition of Eligible Parts without considering the criteria set forth in such definition.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Parts Reserves</w:t>
      </w:r>
      <w:r>
        <w:rPr>
          <w:rFonts w:ascii="Arial" w:cs="Arial" w:eastAsia="Arial" w:hAnsi="Arial"/>
          <w:sz w:val="18"/>
          <w:szCs w:val="18"/>
          <w:color w:val="auto"/>
        </w:rPr>
        <w:t xml:space="preserve">” means, as of any date of determination, (a) Landlord Reserves in respect of Parts, and (b) those reserves that Agent deems necessary or appropriate, in its Permitted Discretion and subject to </w:t>
      </w:r>
      <w:r>
        <w:rPr>
          <w:rFonts w:ascii="Arial" w:cs="Arial" w:eastAsia="Arial" w:hAnsi="Arial"/>
          <w:sz w:val="18"/>
          <w:szCs w:val="18"/>
          <w:u w:val="single" w:color="auto"/>
          <w:color w:val="auto"/>
        </w:rPr>
        <w:t>Section 2.1(c)</w:t>
      </w:r>
      <w:r>
        <w:rPr>
          <w:rFonts w:ascii="Arial" w:cs="Arial" w:eastAsia="Arial" w:hAnsi="Arial"/>
          <w:sz w:val="18"/>
          <w:szCs w:val="18"/>
          <w:color w:val="auto"/>
        </w:rPr>
        <w:t>, to establish and maintain with respect to Eligible Parts, including based on the results of appraisals.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has the meaning specified therefor in the Guaranty and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Conditions</w:t>
      </w:r>
      <w:r>
        <w:rPr>
          <w:rFonts w:ascii="Arial" w:cs="Arial" w:eastAsia="Arial" w:hAnsi="Arial"/>
          <w:sz w:val="18"/>
          <w:szCs w:val="18"/>
          <w:color w:val="auto"/>
        </w:rPr>
        <w:t>” means, at the time of determination with respect to a proposed payment to fund a Specified Transaction, that:</w:t>
      </w:r>
    </w:p>
    <w:p>
      <w:pPr>
        <w:spacing w:after="0" w:line="225" w:lineRule="exact"/>
        <w:rPr>
          <w:sz w:val="20"/>
          <w:szCs w:val="20"/>
          <w:color w:val="auto"/>
        </w:rPr>
      </w:pPr>
    </w:p>
    <w:p>
      <w:pPr>
        <w:ind w:left="1820" w:hanging="516"/>
        <w:spacing w:after="0"/>
        <w:tabs>
          <w:tab w:leader="none" w:pos="18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Default or Event of Default then exists or would arise as a result of the consummation of such Specified Transaction,</w:t>
      </w:r>
    </w:p>
    <w:p>
      <w:pPr>
        <w:spacing w:after="0" w:line="236" w:lineRule="exact"/>
        <w:rPr>
          <w:rFonts w:ascii="Arial" w:cs="Arial" w:eastAsia="Arial" w:hAnsi="Arial"/>
          <w:sz w:val="17"/>
          <w:szCs w:val="17"/>
          <w:color w:val="auto"/>
        </w:rPr>
      </w:pPr>
    </w:p>
    <w:p>
      <w:pPr>
        <w:jc w:val="both"/>
        <w:ind w:left="660" w:firstLine="644"/>
        <w:spacing w:after="0" w:line="270" w:lineRule="auto"/>
        <w:tabs>
          <w:tab w:leader="none" w:pos="1859"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both (i) the Fixed Charge Coverage Ratio of the Parent and its Subsidiaries is equal to or greater than the minimum ratio required by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of this Agreement for the trailing four fiscal quarter period most recently ended for which financial statements are required to have been delivered to Agent pursuant to </w:t>
      </w:r>
      <w:r>
        <w:rPr>
          <w:rFonts w:ascii="Arial" w:cs="Arial" w:eastAsia="Arial" w:hAnsi="Arial"/>
          <w:sz w:val="17"/>
          <w:szCs w:val="17"/>
          <w:u w:val="single" w:color="auto"/>
          <w:color w:val="auto"/>
        </w:rPr>
        <w:t>Schedule 5.1</w:t>
      </w:r>
      <w:r>
        <w:rPr>
          <w:rFonts w:ascii="Arial" w:cs="Arial" w:eastAsia="Arial" w:hAnsi="Arial"/>
          <w:sz w:val="17"/>
          <w:szCs w:val="17"/>
          <w:color w:val="auto"/>
        </w:rPr>
        <w:t xml:space="preserve"> to this Agreement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if such proposed payment is a Fixed Charge made on the last day of such four fiscal quarter period (it being understood that such proposed payment shall also be a Fixed Charge made on the last day of such four fiscal quarter period for purposes of calculating the Fixed Charge Coverage Ratio under this clause (i) for any subsequent proposed payment to fund a Specific Transaction)) and (ii) Average Excess Availability for the 30 day period immediately preceding the date of such proposed payment and the consummation of such Specified Transaction,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if such proposed payment was made, and the Specified Transaction was consummated, on the first day of such period, is not less than 25% of the Maximum Revolver Amount, and</w:t>
      </w:r>
    </w:p>
    <w:p>
      <w:pPr>
        <w:spacing w:after="0" w:line="180" w:lineRule="exact"/>
        <w:rPr>
          <w:rFonts w:ascii="Arial" w:cs="Arial" w:eastAsia="Arial" w:hAnsi="Arial"/>
          <w:sz w:val="17"/>
          <w:szCs w:val="17"/>
          <w:color w:val="auto"/>
        </w:rPr>
      </w:pPr>
    </w:p>
    <w:p>
      <w:pPr>
        <w:ind w:left="660" w:firstLine="644"/>
        <w:spacing w:after="0" w:line="277" w:lineRule="auto"/>
        <w:tabs>
          <w:tab w:leader="none" w:pos="187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Administrative Borrower has delivered a certificate to Agent certifying that all conditions described in clauses (a) and (b) above have been satisfied.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 Plan described in Section 3(2) of ERISA, other than a Multiemployer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xml:space="preserve">” means a certificate in the form of </w:t>
      </w:r>
      <w:r>
        <w:rPr>
          <w:rFonts w:ascii="Arial" w:cs="Arial" w:eastAsia="Arial" w:hAnsi="Arial"/>
          <w:sz w:val="18"/>
          <w:szCs w:val="18"/>
          <w:u w:val="single" w:color="auto"/>
          <w:color w:val="auto"/>
        </w:rPr>
        <w:t>Exhibit P-1</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Requirements</w:t>
      </w:r>
      <w:r>
        <w:rPr>
          <w:rFonts w:ascii="Arial" w:cs="Arial" w:eastAsia="Arial" w:hAnsi="Arial"/>
          <w:sz w:val="18"/>
          <w:szCs w:val="18"/>
          <w:color w:val="auto"/>
        </w:rPr>
        <w:t>” has the meaning specified therefor in the Guaranty and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subject in all respects to </w:t>
      </w:r>
      <w:r>
        <w:rPr>
          <w:rFonts w:ascii="Arial" w:cs="Arial" w:eastAsia="Arial" w:hAnsi="Arial"/>
          <w:sz w:val="18"/>
          <w:szCs w:val="18"/>
          <w:u w:val="single" w:color="auto"/>
          <w:color w:val="auto"/>
        </w:rPr>
        <w:t>Section 6.15</w:t>
      </w:r>
      <w:r>
        <w:rPr>
          <w:rFonts w:ascii="Arial" w:cs="Arial" w:eastAsia="Arial" w:hAnsi="Arial"/>
          <w:sz w:val="18"/>
          <w:szCs w:val="18"/>
          <w:color w:val="auto"/>
        </w:rPr>
        <w:t>, any Acquisition so long as:</w:t>
      </w:r>
    </w:p>
    <w:p>
      <w:pPr>
        <w:spacing w:after="0" w:line="225" w:lineRule="exact"/>
        <w:rPr>
          <w:sz w:val="20"/>
          <w:szCs w:val="20"/>
          <w:color w:val="auto"/>
        </w:rPr>
      </w:pPr>
    </w:p>
    <w:p>
      <w:pPr>
        <w:ind w:firstLine="1304"/>
        <w:spacing w:after="0" w:line="277" w:lineRule="auto"/>
        <w:tabs>
          <w:tab w:leader="none" w:pos="2170"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no Default or Event of Default shall have occurred and be continuing or would result from the consummation of the proposed Acquisition and the proposed Acquisition is consensual,</w:t>
      </w:r>
    </w:p>
    <w:p>
      <w:pPr>
        <w:spacing w:after="0" w:line="170" w:lineRule="exact"/>
        <w:rPr>
          <w:rFonts w:ascii="Arial" w:cs="Arial" w:eastAsia="Arial" w:hAnsi="Arial"/>
          <w:sz w:val="18"/>
          <w:szCs w:val="18"/>
          <w:color w:val="010000"/>
        </w:rPr>
      </w:pPr>
    </w:p>
    <w:p>
      <w:pPr>
        <w:jc w:val="both"/>
        <w:ind w:firstLine="1304"/>
        <w:spacing w:after="0" w:line="263" w:lineRule="auto"/>
        <w:tabs>
          <w:tab w:leader="none" w:pos="2315"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no Indebtedness will be incurred, assumed, or would exist with respect to any Loan Party or its Subsidiaries as a result of such Acquisition, other than Permitted Indebtedness and no Liens will be incurred, assumed, or would exist with respect to the assets of any Loan Party or its Subsidiaries as a result of such Acquisition other than Permitted Liens,</w:t>
      </w:r>
    </w:p>
    <w:p>
      <w:pPr>
        <w:spacing w:after="0" w:line="183" w:lineRule="exact"/>
        <w:rPr>
          <w:rFonts w:ascii="Arial" w:cs="Arial" w:eastAsia="Arial" w:hAnsi="Arial"/>
          <w:sz w:val="18"/>
          <w:szCs w:val="18"/>
          <w:color w:val="010000"/>
        </w:rPr>
      </w:pPr>
    </w:p>
    <w:p>
      <w:pPr>
        <w:jc w:val="both"/>
        <w:ind w:firstLine="1304"/>
        <w:spacing w:after="0" w:line="288" w:lineRule="auto"/>
        <w:tabs>
          <w:tab w:leader="none" w:pos="2170" w:val="left"/>
        </w:tabs>
        <w:numPr>
          <w:ilvl w:val="0"/>
          <w:numId w:val="55"/>
        </w:numPr>
        <w:rPr>
          <w:rFonts w:ascii="Arial" w:cs="Arial" w:eastAsia="Arial" w:hAnsi="Arial"/>
          <w:sz w:val="16"/>
          <w:szCs w:val="16"/>
          <w:color w:val="010000"/>
        </w:rPr>
      </w:pPr>
      <w:r>
        <w:rPr>
          <w:rFonts w:ascii="Arial" w:cs="Arial" w:eastAsia="Arial" w:hAnsi="Arial"/>
          <w:sz w:val="16"/>
          <w:szCs w:val="16"/>
          <w:color w:val="auto"/>
        </w:rPr>
        <w:t xml:space="preserve">Borrowers have provided Agent with written confirmation, supported by reasonably detailed calculations, that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(including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adjustments arising out of events which are directly attributable to such proposed Acquisition, are factually supportable, and are expected to have a continuing impact, in each case, determined as if the combination had been accomplished at the beginning of the relevant period; such eliminations and inclusions to be mutually and reasonably agreed upon by Borrowers and Agent), calculated by adding the historical combined financial statements of Parent (including the combined financial statements of any other Person or assets that were the subject of a prior Permitted Acquisition during the relevant period) to the historical consolidated financial statements of the Person to be acquired (or the historical financial statements related to the assets to be acquired) pursuant to the proposed Acquisition, the Loan Parties and their Subsidiaries (i) would have been in compliance with the financial covenant(s)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Agreement for the fiscal quarter ended immediately prior to the proposed date of consummation of such proposed Acquisition, and (ii) are projected to be in compliance with the financial covenant(s)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Agreement for each of the four fiscal quarters in the period ended one year after the proposed date of consummation of such proposed Acquisition,</w:t>
      </w:r>
    </w:p>
    <w:p>
      <w:pPr>
        <w:spacing w:after="0" w:line="168" w:lineRule="exact"/>
        <w:rPr>
          <w:rFonts w:ascii="Arial" w:cs="Arial" w:eastAsia="Arial" w:hAnsi="Arial"/>
          <w:sz w:val="16"/>
          <w:szCs w:val="16"/>
          <w:color w:val="010000"/>
        </w:rPr>
      </w:pPr>
    </w:p>
    <w:p>
      <w:pPr>
        <w:jc w:val="both"/>
        <w:ind w:firstLine="1304"/>
        <w:spacing w:after="0" w:line="259" w:lineRule="auto"/>
        <w:tabs>
          <w:tab w:leader="none" w:pos="2342"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Borrowers have provided Agent with its due diligence package relative to the proposed Acquisition, including forecasted balance sheets, profit and loss statements, and cash flow statements of the Person or assets to be acquired, all prepared on a basis consistent with such Person’s (or assets’) historical financial statements, together with appropriate supporting details and a statement of underlying assumptions for the one year period following the date of the proposed Acquisition, on a quarter by quarter basis),</w:t>
      </w:r>
    </w:p>
    <w:p>
      <w:pPr>
        <w:spacing w:after="0" w:line="186" w:lineRule="exact"/>
        <w:rPr>
          <w:rFonts w:ascii="Arial" w:cs="Arial" w:eastAsia="Arial" w:hAnsi="Arial"/>
          <w:sz w:val="18"/>
          <w:szCs w:val="18"/>
          <w:color w:val="010000"/>
        </w:rPr>
      </w:pPr>
    </w:p>
    <w:p>
      <w:pPr>
        <w:ind w:left="2180" w:hanging="876"/>
        <w:spacing w:after="0"/>
        <w:tabs>
          <w:tab w:leader="none" w:pos="2180"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2200" w:hanging="896"/>
        <w:spacing w:after="0"/>
        <w:tabs>
          <w:tab w:leader="none" w:pos="2200"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jc w:val="both"/>
        <w:ind w:firstLine="1304"/>
        <w:spacing w:after="0" w:line="259" w:lineRule="auto"/>
        <w:tabs>
          <w:tab w:leader="none" w:pos="2302"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Borrowers have provided Agent with written notice of the proposed Acquisition at least ten Business Days (or such lesser period as agreed by Agent) prior to the anticipated closing date of the proposed Acquisition and, not later than five Business Days (or such lesser period as agreed by Agent) prior to the anticipated closing date of the proposed Acquisition, copies of the acquisition agreement and other material documents relative to the proposed Acquisition,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jc w:val="both"/>
        <w:ind w:firstLine="1304"/>
        <w:spacing w:after="0" w:line="263" w:lineRule="auto"/>
        <w:tabs>
          <w:tab w:leader="none" w:pos="2180"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 xml:space="preserve">the assets being acquired (other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assets in relation to Parent’s and its Subsidiaries’ total assets), or the Person whose Equity Interests are being acquired, are useful in or engaged in, as applicable, the business of the Loan Parties and their Subsidiaries or a business reasonably related thereto,</w:t>
      </w:r>
    </w:p>
    <w:p>
      <w:pPr>
        <w:spacing w:after="0" w:line="183" w:lineRule="exact"/>
        <w:rPr>
          <w:rFonts w:ascii="Arial" w:cs="Arial" w:eastAsia="Arial" w:hAnsi="Arial"/>
          <w:sz w:val="18"/>
          <w:szCs w:val="18"/>
          <w:color w:val="010000"/>
        </w:rPr>
      </w:pPr>
    </w:p>
    <w:p>
      <w:pPr>
        <w:ind w:firstLine="1304"/>
        <w:spacing w:after="0" w:line="277" w:lineRule="auto"/>
        <w:tabs>
          <w:tab w:leader="none" w:pos="2199"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the assets being acquired (other than assets in an aggregate amount not exceeding $30,000,000) are located within the United States or the Person whose Equity Interests are being acquired is organized in the United States, and</w:t>
      </w:r>
    </w:p>
    <w:p>
      <w:pPr>
        <w:spacing w:after="0" w:line="170" w:lineRule="exact"/>
        <w:rPr>
          <w:rFonts w:ascii="Arial" w:cs="Arial" w:eastAsia="Arial" w:hAnsi="Arial"/>
          <w:sz w:val="18"/>
          <w:szCs w:val="18"/>
          <w:color w:val="010000"/>
        </w:rPr>
      </w:pPr>
    </w:p>
    <w:p>
      <w:pPr>
        <w:jc w:val="both"/>
        <w:ind w:firstLine="1304"/>
        <w:spacing w:after="0" w:line="257" w:lineRule="auto"/>
        <w:tabs>
          <w:tab w:leader="none" w:pos="2253"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 xml:space="preserve">the subject assets or Equity Interests, as applicable, are being acquired directly by a Borrower or one of its Subsidiaries that is a Loan Party, and, in connection therewith, the applicable Loan Party shall have complied with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of this Agreement, as applicable, of this Agreement and, in the case of an acquisition of Equity Interests, the Person whose Equity Interests are acquired shall become a Loan Party and the applicable Loan Party shall have demonstrated to Agent that the new Loan Parties have received consideration sufficient to make the joinder documents binding and enforceable against such new Loan Parties.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Additional Secured Indebtedness</w:t>
      </w:r>
      <w:r>
        <w:rPr>
          <w:rFonts w:ascii="Arial" w:cs="Arial" w:eastAsia="Arial" w:hAnsi="Arial"/>
          <w:sz w:val="18"/>
          <w:szCs w:val="18"/>
          <w:color w:val="auto"/>
        </w:rPr>
        <w:t>” means Indebtedness incurred by any Loan Party or any of its Subsidiaries (in addition to Permitted Purchase Money Indebtedness) that is secured by, and only by, Specified Collateral, in an aggregate outstanding amount not to exceed $10,000,000 at any one time.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Discretion</w:t>
      </w:r>
      <w:r>
        <w:rPr>
          <w:rFonts w:ascii="Arial" w:cs="Arial" w:eastAsia="Arial" w:hAnsi="Arial"/>
          <w:sz w:val="18"/>
          <w:szCs w:val="18"/>
          <w:color w:val="auto"/>
        </w:rPr>
        <w:t>” means a determination made in the exercise of reasonable (from the perspective of a secured asset-based lender) business judgment.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Dispositions</w:t>
      </w:r>
      <w:r>
        <w:rPr>
          <w:rFonts w:ascii="Arial" w:cs="Arial" w:eastAsia="Arial" w:hAnsi="Arial"/>
          <w:sz w:val="18"/>
          <w:szCs w:val="18"/>
          <w:color w:val="auto"/>
        </w:rPr>
        <w:t xml:space="preserve">” means, subject in all respects to </w:t>
      </w:r>
      <w:r>
        <w:rPr>
          <w:rFonts w:ascii="Arial" w:cs="Arial" w:eastAsia="Arial" w:hAnsi="Arial"/>
          <w:sz w:val="18"/>
          <w:szCs w:val="18"/>
          <w:u w:val="single" w:color="auto"/>
          <w:color w:val="auto"/>
        </w:rPr>
        <w:t>Section 6.15</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311" w:lineRule="auto"/>
        <w:tabs>
          <w:tab w:leader="none" w:pos="2211" w:val="left"/>
        </w:tabs>
        <w:numPr>
          <w:ilvl w:val="0"/>
          <w:numId w:val="57"/>
        </w:numPr>
        <w:rPr>
          <w:rFonts w:ascii="Arial" w:cs="Arial" w:eastAsia="Arial" w:hAnsi="Arial"/>
          <w:sz w:val="16"/>
          <w:szCs w:val="16"/>
          <w:color w:val="010000"/>
        </w:rPr>
      </w:pPr>
      <w:r>
        <w:rPr>
          <w:rFonts w:ascii="Arial" w:cs="Arial" w:eastAsia="Arial" w:hAnsi="Arial"/>
          <w:sz w:val="16"/>
          <w:szCs w:val="16"/>
          <w:color w:val="auto"/>
        </w:rPr>
        <w:t>sales, abandonment, or other dispositions of Equipment that is substantially worn, damaged, or obsolete or no longer used or useful in the ordinary course of business (which, for the avoidance of doubt, shall not include Eligible Whole Aircraft Collateral, Eligible Whole Engine Collateral and Eligible Parts) and leases or subleases of Real Property not useful in the conduct of the business of the Loan Parties and their Subsidiaries,</w:t>
      </w:r>
    </w:p>
    <w:p>
      <w:pPr>
        <w:spacing w:after="0" w:line="148" w:lineRule="exact"/>
        <w:rPr>
          <w:rFonts w:ascii="Arial" w:cs="Arial" w:eastAsia="Arial" w:hAnsi="Arial"/>
          <w:sz w:val="16"/>
          <w:szCs w:val="16"/>
          <w:color w:val="010000"/>
        </w:rPr>
      </w:pPr>
    </w:p>
    <w:p>
      <w:pPr>
        <w:ind w:right="20" w:firstLine="1304"/>
        <w:spacing w:after="0" w:line="277" w:lineRule="auto"/>
        <w:tabs>
          <w:tab w:leader="none" w:pos="2477"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sales of assets (other than Equity Interests of any Subsidiary) in the ordinary course of business, so long as any such disposition would not cause an Overadvance immediately after giving effect thereto,</w:t>
      </w:r>
    </w:p>
    <w:p>
      <w:pPr>
        <w:spacing w:after="0" w:line="170" w:lineRule="exact"/>
        <w:rPr>
          <w:rFonts w:ascii="Arial" w:cs="Arial" w:eastAsia="Arial" w:hAnsi="Arial"/>
          <w:sz w:val="18"/>
          <w:szCs w:val="18"/>
          <w:color w:val="010000"/>
        </w:rPr>
      </w:pPr>
    </w:p>
    <w:p>
      <w:pPr>
        <w:ind w:left="2320" w:hanging="1016"/>
        <w:spacing w:after="0"/>
        <w:tabs>
          <w:tab w:leader="none" w:pos="2320" w:val="left"/>
        </w:tabs>
        <w:numPr>
          <w:ilvl w:val="0"/>
          <w:numId w:val="57"/>
        </w:numPr>
        <w:rPr>
          <w:rFonts w:ascii="Arial" w:cs="Arial" w:eastAsia="Arial" w:hAnsi="Arial"/>
          <w:sz w:val="16"/>
          <w:szCs w:val="16"/>
          <w:color w:val="010000"/>
        </w:rPr>
      </w:pPr>
      <w:r>
        <w:rPr>
          <w:rFonts w:ascii="Arial" w:cs="Arial" w:eastAsia="Arial" w:hAnsi="Arial"/>
          <w:sz w:val="16"/>
          <w:szCs w:val="16"/>
          <w:color w:val="auto"/>
        </w:rPr>
        <w:t>the use or transfer of money or Cash Equivalents in a manner that is not prohibited by the terms of this Agreement or the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other Loan Documents,</w:t>
      </w:r>
    </w:p>
    <w:p>
      <w:pPr>
        <w:spacing w:after="0" w:line="210" w:lineRule="exact"/>
        <w:rPr>
          <w:rFonts w:ascii="Arial" w:cs="Arial" w:eastAsia="Arial" w:hAnsi="Arial"/>
          <w:sz w:val="16"/>
          <w:szCs w:val="16"/>
          <w:color w:val="010000"/>
        </w:rPr>
      </w:pPr>
    </w:p>
    <w:p>
      <w:pPr>
        <w:ind w:firstLine="1304"/>
        <w:spacing w:after="0" w:line="277" w:lineRule="auto"/>
        <w:tabs>
          <w:tab w:leader="none" w:pos="2261"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the licensing of patents, trademarks, copyrights, and other intellectual property rights in the ordinary course of business (so long as any exclusive licensing is not materially disruptive to the operations of such Person’s business),</w:t>
      </w:r>
    </w:p>
    <w:p>
      <w:pPr>
        <w:spacing w:after="0" w:line="170" w:lineRule="exact"/>
        <w:rPr>
          <w:rFonts w:ascii="Arial" w:cs="Arial" w:eastAsia="Arial" w:hAnsi="Arial"/>
          <w:sz w:val="18"/>
          <w:szCs w:val="18"/>
          <w:color w:val="010000"/>
        </w:rPr>
      </w:pPr>
    </w:p>
    <w:p>
      <w:pPr>
        <w:ind w:left="2180" w:hanging="876"/>
        <w:spacing w:after="0"/>
        <w:tabs>
          <w:tab w:leader="none" w:pos="2180"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the granting of Permitted Liens,</w:t>
      </w:r>
    </w:p>
    <w:p>
      <w:pPr>
        <w:spacing w:after="0" w:line="225" w:lineRule="exact"/>
        <w:rPr>
          <w:rFonts w:ascii="Arial" w:cs="Arial" w:eastAsia="Arial" w:hAnsi="Arial"/>
          <w:sz w:val="18"/>
          <w:szCs w:val="18"/>
          <w:color w:val="010000"/>
        </w:rPr>
      </w:pPr>
    </w:p>
    <w:p>
      <w:pPr>
        <w:ind w:firstLine="1304"/>
        <w:spacing w:after="0" w:line="277" w:lineRule="auto"/>
        <w:tabs>
          <w:tab w:leader="none" w:pos="2438"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the sale or discount, in each case without recourse, of accounts receivable (other than Eligible Accounts) arising in the ordinary course of business, but only in connection with the compromise or collection thereof,</w:t>
      </w:r>
    </w:p>
    <w:p>
      <w:pPr>
        <w:spacing w:after="0" w:line="170" w:lineRule="exact"/>
        <w:rPr>
          <w:rFonts w:ascii="Arial" w:cs="Arial" w:eastAsia="Arial" w:hAnsi="Arial"/>
          <w:sz w:val="18"/>
          <w:szCs w:val="18"/>
          <w:color w:val="010000"/>
        </w:rPr>
      </w:pPr>
    </w:p>
    <w:p>
      <w:pPr>
        <w:ind w:left="2180" w:hanging="876"/>
        <w:spacing w:after="0"/>
        <w:tabs>
          <w:tab w:leader="none" w:pos="2180"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any involuntary loss, damage or destruction of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ind w:left="2180" w:hanging="876"/>
        <w:spacing w:after="0"/>
        <w:tabs>
          <w:tab w:leader="none" w:pos="2180" w:val="left"/>
        </w:tabs>
        <w:numPr>
          <w:ilvl w:val="0"/>
          <w:numId w:val="58"/>
        </w:numPr>
        <w:rPr>
          <w:rFonts w:ascii="Arial" w:cs="Arial" w:eastAsia="Arial" w:hAnsi="Arial"/>
          <w:sz w:val="16"/>
          <w:szCs w:val="16"/>
          <w:color w:val="010000"/>
        </w:rPr>
      </w:pPr>
      <w:r>
        <w:rPr>
          <w:rFonts w:ascii="Arial" w:cs="Arial" w:eastAsia="Arial" w:hAnsi="Arial"/>
          <w:sz w:val="16"/>
          <w:szCs w:val="16"/>
          <w:color w:val="auto"/>
        </w:rPr>
        <w:t>any involuntary condemnation, seizure or taking, by exercise of the power of eminent domain or otherwise, or confiscation or</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requisition of use of property,</w:t>
      </w:r>
    </w:p>
    <w:p>
      <w:pPr>
        <w:spacing w:after="0" w:line="210" w:lineRule="exact"/>
        <w:rPr>
          <w:rFonts w:ascii="Arial" w:cs="Arial" w:eastAsia="Arial" w:hAnsi="Arial"/>
          <w:sz w:val="16"/>
          <w:szCs w:val="16"/>
          <w:color w:val="010000"/>
        </w:rPr>
      </w:pPr>
    </w:p>
    <w:p>
      <w:pPr>
        <w:ind w:left="2200" w:hanging="896"/>
        <w:spacing w:after="0"/>
        <w:tabs>
          <w:tab w:leader="none" w:pos="220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the leasing or subleasing of assets of any Loan Party or its Subsidiaries in the ordinary course of business,</w:t>
      </w:r>
    </w:p>
    <w:p>
      <w:pPr>
        <w:spacing w:after="0" w:line="225" w:lineRule="exact"/>
        <w:rPr>
          <w:rFonts w:ascii="Arial" w:cs="Arial" w:eastAsia="Arial" w:hAnsi="Arial"/>
          <w:sz w:val="18"/>
          <w:szCs w:val="18"/>
          <w:color w:val="010000"/>
        </w:rPr>
      </w:pPr>
    </w:p>
    <w:p>
      <w:pPr>
        <w:ind w:left="2200" w:hanging="896"/>
        <w:spacing w:after="0"/>
        <w:tabs>
          <w:tab w:leader="none" w:pos="220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the sale or issuance of Equity Interests (other than Disqualified Equity Interests) of Parent,</w:t>
      </w:r>
    </w:p>
    <w:p>
      <w:pPr>
        <w:spacing w:after="0" w:line="225" w:lineRule="exact"/>
        <w:rPr>
          <w:rFonts w:ascii="Arial" w:cs="Arial" w:eastAsia="Arial" w:hAnsi="Arial"/>
          <w:sz w:val="18"/>
          <w:szCs w:val="18"/>
          <w:color w:val="010000"/>
        </w:rPr>
      </w:pPr>
    </w:p>
    <w:p>
      <w:pPr>
        <w:jc w:val="both"/>
        <w:ind w:firstLine="1304"/>
        <w:spacing w:after="0" w:line="279" w:lineRule="auto"/>
        <w:tabs>
          <w:tab w:leader="none" w:pos="2396"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(i) the lapse of registered patents, trademarks, copyrights and other intellectual property of any Loan Party or any of its Subsidiaries to the extent not economically desirable in the conduct of its business, or (ii) the abandonment of patents, trademarks, copyrights, or other intellectual property rights in the ordinary course of business so long as (in each case under clauses (i) and (ii)), (A) with respect to copyrights, such copyrights are not material revenue generating copyrights, and (B) such lapse is not materially adverse to the interests of the Lender Group,</w:t>
      </w:r>
    </w:p>
    <w:p>
      <w:pPr>
        <w:spacing w:after="0" w:line="171" w:lineRule="exact"/>
        <w:rPr>
          <w:rFonts w:ascii="Arial" w:cs="Arial" w:eastAsia="Arial" w:hAnsi="Arial"/>
          <w:sz w:val="17"/>
          <w:szCs w:val="17"/>
          <w:color w:val="010000"/>
        </w:rPr>
      </w:pPr>
    </w:p>
    <w:p>
      <w:pPr>
        <w:ind w:left="2200" w:hanging="896"/>
        <w:spacing w:after="0"/>
        <w:tabs>
          <w:tab w:leader="none" w:pos="220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the making of Restricted Payments that are expressly permitted to be made pursuant to this Agreement,</w:t>
      </w:r>
    </w:p>
    <w:p>
      <w:pPr>
        <w:spacing w:after="0" w:line="225" w:lineRule="exact"/>
        <w:rPr>
          <w:rFonts w:ascii="Arial" w:cs="Arial" w:eastAsia="Arial" w:hAnsi="Arial"/>
          <w:sz w:val="18"/>
          <w:szCs w:val="18"/>
          <w:color w:val="010000"/>
        </w:rPr>
      </w:pPr>
    </w:p>
    <w:p>
      <w:pPr>
        <w:ind w:left="2200" w:hanging="896"/>
        <w:spacing w:after="0"/>
        <w:tabs>
          <w:tab w:leader="none" w:pos="220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any Permitted Investment,</w:t>
      </w:r>
    </w:p>
    <w:p>
      <w:pPr>
        <w:spacing w:after="0" w:line="225" w:lineRule="exact"/>
        <w:rPr>
          <w:rFonts w:ascii="Arial" w:cs="Arial" w:eastAsia="Arial" w:hAnsi="Arial"/>
          <w:sz w:val="18"/>
          <w:szCs w:val="18"/>
          <w:color w:val="010000"/>
        </w:rPr>
      </w:pPr>
    </w:p>
    <w:p>
      <w:pPr>
        <w:jc w:val="both"/>
        <w:ind w:firstLine="1304"/>
        <w:spacing w:after="0" w:line="263" w:lineRule="auto"/>
        <w:tabs>
          <w:tab w:leader="none" w:pos="2261"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so long as no Event of Default has occurred and is continuing or would immediately result therefrom, transfers of assets (i) from any Loan Party or any of its Subsidiaries to a Loan Party (other than Parent), and (ii) from any Subsidiary of any Loan Party that is not a Loan Party to any other Subsidiary of any Loan Party,</w:t>
      </w:r>
    </w:p>
    <w:p>
      <w:pPr>
        <w:spacing w:after="0" w:line="183" w:lineRule="exact"/>
        <w:rPr>
          <w:rFonts w:ascii="Arial" w:cs="Arial" w:eastAsia="Arial" w:hAnsi="Arial"/>
          <w:sz w:val="18"/>
          <w:szCs w:val="18"/>
          <w:color w:val="010000"/>
        </w:rPr>
      </w:pPr>
    </w:p>
    <w:p>
      <w:pPr>
        <w:jc w:val="both"/>
        <w:ind w:firstLine="1304"/>
        <w:spacing w:after="0" w:line="279" w:lineRule="auto"/>
        <w:tabs>
          <w:tab w:leader="none" w:pos="2230"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 xml:space="preserve">dispositions of Equipment (which, for the avoidance of doubt, shall not include Eligible Whole Aircraft Collateral, Eligible Whole Engine Collateral and Eligible Parts) or Real Property to the extent that (i) such property is exchanged for credit against the purchase price of similar replacement property, or (ii) the proceeds of such disposition are promptly applied to the purchase price of such replacement property; </w:t>
      </w:r>
      <w:r>
        <w:rPr>
          <w:rFonts w:ascii="Arial" w:cs="Arial" w:eastAsia="Arial" w:hAnsi="Arial"/>
          <w:sz w:val="17"/>
          <w:szCs w:val="17"/>
          <w:u w:val="single" w:color="auto"/>
          <w:color w:val="auto"/>
        </w:rPr>
        <w:t>provided</w:t>
      </w:r>
      <w:r>
        <w:rPr>
          <w:rFonts w:ascii="Arial" w:cs="Arial" w:eastAsia="Arial" w:hAnsi="Arial"/>
          <w:sz w:val="17"/>
          <w:szCs w:val="17"/>
          <w:color w:val="auto"/>
        </w:rPr>
        <w:t>, that to the extent the property being transferred constitutes Collateral, such replacement property shall constitute Collateral,</w:t>
      </w:r>
    </w:p>
    <w:p>
      <w:pPr>
        <w:spacing w:after="0" w:line="171" w:lineRule="exact"/>
        <w:rPr>
          <w:rFonts w:ascii="Arial" w:cs="Arial" w:eastAsia="Arial" w:hAnsi="Arial"/>
          <w:sz w:val="17"/>
          <w:szCs w:val="17"/>
          <w:color w:val="010000"/>
        </w:rPr>
      </w:pPr>
    </w:p>
    <w:p>
      <w:pPr>
        <w:jc w:val="both"/>
        <w:ind w:firstLine="1304"/>
        <w:spacing w:after="0" w:line="257" w:lineRule="auto"/>
        <w:tabs>
          <w:tab w:leader="none" w:pos="2203"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dispositions of assets acquired by the Loan Parties and their Subsidiaries pursuant to a Permitted Acquisition with respect to which the Payment Conditions are satisfied and consummated within 12 months of the date of the proposed disposition so long as (i) the consideration received for the assets to be so disposed is at least equal to the fair market value of such assets, (ii) the assets to be so disposed are not necessary or economically desirable in connection with the business of the Loan Parties and their Subsidiaries, and (iii) the assets to be so disposed are readily identifiable as assets acquired pursuant to the subject Permitted Acquisition,</w:t>
      </w:r>
    </w:p>
    <w:p>
      <w:pPr>
        <w:spacing w:after="0" w:line="187" w:lineRule="exact"/>
        <w:rPr>
          <w:rFonts w:ascii="Arial" w:cs="Arial" w:eastAsia="Arial" w:hAnsi="Arial"/>
          <w:sz w:val="18"/>
          <w:szCs w:val="18"/>
          <w:color w:val="010000"/>
        </w:rPr>
      </w:pPr>
    </w:p>
    <w:p>
      <w:pPr>
        <w:ind w:left="2180" w:hanging="876"/>
        <w:spacing w:after="0"/>
        <w:tabs>
          <w:tab w:leader="none" w:pos="2180"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any issuance or sale of Equity Interests in, or sale of Indebtedness or other securities of, an Unrestricted Subsidiary,</w:t>
      </w:r>
    </w:p>
    <w:p>
      <w:pPr>
        <w:spacing w:after="0" w:line="236" w:lineRule="exact"/>
        <w:rPr>
          <w:rFonts w:ascii="Arial" w:cs="Arial" w:eastAsia="Arial" w:hAnsi="Arial"/>
          <w:sz w:val="17"/>
          <w:szCs w:val="17"/>
          <w:color w:val="010000"/>
        </w:rPr>
      </w:pPr>
    </w:p>
    <w:p>
      <w:pPr>
        <w:ind w:firstLine="1304"/>
        <w:spacing w:after="0" w:line="308" w:lineRule="auto"/>
        <w:tabs>
          <w:tab w:leader="none" w:pos="2249"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other sales or dispositions for fair market value so long as (i) the aggregate fair market value of all assets disposed of in any fiscal year (including the proposed disposition) would not exceed $1,000,000 or (ii) the Payment Conditions are satisfied, and</w:t>
      </w:r>
    </w:p>
    <w:p>
      <w:pPr>
        <w:spacing w:after="0" w:line="146" w:lineRule="exact"/>
        <w:rPr>
          <w:rFonts w:ascii="Arial" w:cs="Arial" w:eastAsia="Arial" w:hAnsi="Arial"/>
          <w:sz w:val="17"/>
          <w:szCs w:val="17"/>
          <w:color w:val="010000"/>
        </w:rPr>
      </w:pPr>
    </w:p>
    <w:p>
      <w:pPr>
        <w:jc w:val="both"/>
        <w:ind w:firstLine="1304"/>
        <w:spacing w:after="0" w:line="254" w:lineRule="auto"/>
        <w:tabs>
          <w:tab w:leader="none" w:pos="2174"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 xml:space="preserve">dispositions of Investments in AerLine Holdings, Inc. or its Affiliates, but solely to the extent such Investments are Permitted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that if, as of any date of determination, any sales or dispositions by the Loan Parties as set forth in clauses (a) through (r) above consummated during the period of time from the first day of the month in which such date of determination occurs until such date of determination, either individually or in the aggregate, involve assets the aggregate NOLV of which would exceed $10,000,000 (the “</w:t>
      </w:r>
      <w:r>
        <w:rPr>
          <w:rFonts w:ascii="Arial" w:cs="Arial" w:eastAsia="Arial" w:hAnsi="Arial"/>
          <w:sz w:val="18"/>
          <w:szCs w:val="18"/>
          <w:u w:val="single" w:color="auto"/>
          <w:color w:val="auto"/>
        </w:rPr>
        <w:t>Threshold Amount</w:t>
      </w:r>
      <w:r>
        <w:rPr>
          <w:rFonts w:ascii="Arial" w:cs="Arial" w:eastAsia="Arial" w:hAnsi="Arial"/>
          <w:sz w:val="18"/>
          <w:szCs w:val="18"/>
          <w:color w:val="auto"/>
        </w:rPr>
        <w:t>”), then Borrowers shall have, prior to consummation of the sale or disposition that causes the assets included in the Borrowing Base that are disposed of during such period to exceed the Threshold Amount, delivered to Agent an updated Borrowing Base Certificate that reflects the removal of the applicable assets from the Borrowing Base.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w:t>
      </w:r>
      <w:r>
        <w:rPr>
          <w:rFonts w:ascii="Arial" w:cs="Arial" w:eastAsia="Arial" w:hAnsi="Arial"/>
          <w:sz w:val="18"/>
          <w:szCs w:val="18"/>
          <w:color w:val="auto"/>
        </w:rPr>
        <w:t>” means Sponsor, Nicholas Finazzo and Robert Nichols.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 xml:space="preserve">” means, subject in all respects to </w:t>
      </w:r>
      <w:r>
        <w:rPr>
          <w:rFonts w:ascii="Arial" w:cs="Arial" w:eastAsia="Arial" w:hAnsi="Arial"/>
          <w:sz w:val="18"/>
          <w:szCs w:val="18"/>
          <w:u w:val="single" w:color="auto"/>
          <w:color w:val="auto"/>
        </w:rPr>
        <w:t>Section 6.15</w:t>
      </w:r>
      <w:r>
        <w:rPr>
          <w:rFonts w:ascii="Arial" w:cs="Arial" w:eastAsia="Arial" w:hAnsi="Arial"/>
          <w:sz w:val="18"/>
          <w:szCs w:val="18"/>
          <w:color w:val="auto"/>
        </w:rPr>
        <w:t>:</w:t>
      </w:r>
    </w:p>
    <w:p>
      <w:pPr>
        <w:spacing w:after="0" w:line="225" w:lineRule="exact"/>
        <w:rPr>
          <w:sz w:val="20"/>
          <w:szCs w:val="20"/>
          <w:color w:val="auto"/>
        </w:rPr>
      </w:pPr>
    </w:p>
    <w:p>
      <w:pPr>
        <w:ind w:left="2220" w:hanging="916"/>
        <w:spacing w:after="0"/>
        <w:tabs>
          <w:tab w:leader="none" w:pos="2220"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Indebtedness in respect of the Obligations (other than Bank Product Obligations),</w:t>
      </w:r>
    </w:p>
    <w:p>
      <w:pPr>
        <w:spacing w:after="0" w:line="225" w:lineRule="exact"/>
        <w:rPr>
          <w:rFonts w:ascii="Arial" w:cs="Arial" w:eastAsia="Arial" w:hAnsi="Arial"/>
          <w:sz w:val="18"/>
          <w:szCs w:val="18"/>
          <w:color w:val="010000"/>
        </w:rPr>
      </w:pPr>
    </w:p>
    <w:p>
      <w:pPr>
        <w:ind w:left="2440" w:hanging="1136"/>
        <w:spacing w:after="0"/>
        <w:tabs>
          <w:tab w:leader="none" w:pos="2440" w:val="left"/>
        </w:tabs>
        <w:numPr>
          <w:ilvl w:val="0"/>
          <w:numId w:val="59"/>
        </w:numPr>
        <w:rPr>
          <w:rFonts w:ascii="Arial" w:cs="Arial" w:eastAsia="Arial" w:hAnsi="Arial"/>
          <w:sz w:val="16"/>
          <w:szCs w:val="16"/>
          <w:color w:val="010000"/>
        </w:rPr>
      </w:pPr>
      <w:r>
        <w:rPr>
          <w:rFonts w:ascii="Arial" w:cs="Arial" w:eastAsia="Arial" w:hAnsi="Arial"/>
          <w:sz w:val="16"/>
          <w:szCs w:val="16"/>
          <w:color w:val="auto"/>
        </w:rPr>
        <w:t xml:space="preserve">Indebtedness as of the Closing Date set forth on </w:t>
      </w:r>
      <w:r>
        <w:rPr>
          <w:rFonts w:ascii="Arial" w:cs="Arial" w:eastAsia="Arial" w:hAnsi="Arial"/>
          <w:sz w:val="16"/>
          <w:szCs w:val="16"/>
          <w:u w:val="single" w:color="auto"/>
          <w:color w:val="auto"/>
        </w:rPr>
        <w:t>Schedule 4.14</w:t>
      </w:r>
      <w:r>
        <w:rPr>
          <w:rFonts w:ascii="Arial" w:cs="Arial" w:eastAsia="Arial" w:hAnsi="Arial"/>
          <w:sz w:val="16"/>
          <w:szCs w:val="16"/>
          <w:color w:val="auto"/>
        </w:rPr>
        <w:t xml:space="preserve"> to this Agreement and any Refinancing Indebtedness in</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respect of such Indebtedness,</w:t>
      </w:r>
    </w:p>
    <w:p>
      <w:pPr>
        <w:spacing w:after="0" w:line="210" w:lineRule="exact"/>
        <w:rPr>
          <w:rFonts w:ascii="Arial" w:cs="Arial" w:eastAsia="Arial" w:hAnsi="Arial"/>
          <w:sz w:val="16"/>
          <w:szCs w:val="16"/>
          <w:color w:val="010000"/>
        </w:rPr>
      </w:pPr>
    </w:p>
    <w:p>
      <w:pPr>
        <w:ind w:left="2220" w:hanging="916"/>
        <w:spacing w:after="0"/>
        <w:tabs>
          <w:tab w:leader="none" w:pos="2220"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Permitted Purchase Money Indebtedness and any Refinancing Indebtedness in respect of such Indebtedness,</w:t>
      </w:r>
    </w:p>
    <w:p>
      <w:pPr>
        <w:spacing w:after="0" w:line="225" w:lineRule="exact"/>
        <w:rPr>
          <w:rFonts w:ascii="Arial" w:cs="Arial" w:eastAsia="Arial" w:hAnsi="Arial"/>
          <w:sz w:val="18"/>
          <w:szCs w:val="18"/>
          <w:color w:val="010000"/>
        </w:rPr>
      </w:pPr>
    </w:p>
    <w:p>
      <w:pPr>
        <w:ind w:left="2240" w:hanging="936"/>
        <w:spacing w:after="0"/>
        <w:tabs>
          <w:tab w:leader="none" w:pos="2240"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Indebtedness arising in connection with the endorsement of instruments or other payment items for deposit,</w:t>
      </w:r>
    </w:p>
    <w:p>
      <w:pPr>
        <w:spacing w:after="0" w:line="225" w:lineRule="exact"/>
        <w:rPr>
          <w:rFonts w:ascii="Arial" w:cs="Arial" w:eastAsia="Arial" w:hAnsi="Arial"/>
          <w:sz w:val="18"/>
          <w:szCs w:val="18"/>
          <w:color w:val="010000"/>
        </w:rPr>
      </w:pPr>
    </w:p>
    <w:p>
      <w:pPr>
        <w:jc w:val="both"/>
        <w:ind w:firstLine="1304"/>
        <w:spacing w:after="0" w:line="259" w:lineRule="auto"/>
        <w:tabs>
          <w:tab w:leader="none" w:pos="2179"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Indebtedness consisting of (i) guarantees incurred in the ordinary course of business with respect to surety and appeal bonds, performance bonds, bid bonds, appeal bonds, completion guarantee and similar obligations and (ii) guarantees arising with respect to customary indemnification obligations to purchasers in connection with Permitted Dispositions or to sellers in connection with Permitted Acquisitions with respect to which the Payment Conditions are satisfied,</w:t>
      </w:r>
    </w:p>
    <w:p>
      <w:pPr>
        <w:spacing w:after="0" w:line="186" w:lineRule="exact"/>
        <w:rPr>
          <w:rFonts w:ascii="Arial" w:cs="Arial" w:eastAsia="Arial" w:hAnsi="Arial"/>
          <w:sz w:val="18"/>
          <w:szCs w:val="18"/>
          <w:color w:val="010000"/>
        </w:rPr>
      </w:pPr>
    </w:p>
    <w:p>
      <w:pPr>
        <w:jc w:val="both"/>
        <w:ind w:firstLine="1304"/>
        <w:spacing w:after="0" w:line="293" w:lineRule="auto"/>
        <w:tabs>
          <w:tab w:leader="none" w:pos="2245" w:val="left"/>
        </w:tabs>
        <w:numPr>
          <w:ilvl w:val="0"/>
          <w:numId w:val="59"/>
        </w:numPr>
        <w:rPr>
          <w:rFonts w:ascii="Arial" w:cs="Arial" w:eastAsia="Arial" w:hAnsi="Arial"/>
          <w:sz w:val="16"/>
          <w:szCs w:val="16"/>
          <w:color w:val="010000"/>
        </w:rPr>
      </w:pPr>
      <w:r>
        <w:rPr>
          <w:rFonts w:ascii="Arial" w:cs="Arial" w:eastAsia="Arial" w:hAnsi="Arial"/>
          <w:sz w:val="16"/>
          <w:szCs w:val="16"/>
          <w:color w:val="auto"/>
        </w:rPr>
        <w:t>Indebtedness of any Loan Party that is incurred on the date of the consummation of a Permitted Acquisition with respect to which the Payment Conditions are satisfied, solely for the purpose of consummating such Permitted Acquisition, so long as (i) no Event of Default has occurred and is continuing or would result therefrom, (ii) such Indebtedness is not incurred for working capital purposes, (iii) such Indebtedness does not mature prior to the date that is 3 months after the Maturity Date, (iv) [reserved], (v) [reserved], (vi) such Indebtedness is subordinated in right of payment to the Obligations on terms and conditions reasonably satisfactory to Agent and is otherwise on terms and conditions (including economic terms and absence of covenants) reasonably satisfactory to Agent and (vii) the aggregate outstanding amount of such Indebtedness does not exceed $15,000,000,</w:t>
      </w:r>
    </w:p>
    <w:p>
      <w:pPr>
        <w:spacing w:after="0" w:line="164" w:lineRule="exact"/>
        <w:rPr>
          <w:rFonts w:ascii="Arial" w:cs="Arial" w:eastAsia="Arial" w:hAnsi="Arial"/>
          <w:sz w:val="16"/>
          <w:szCs w:val="16"/>
          <w:color w:val="010000"/>
        </w:rPr>
      </w:pPr>
    </w:p>
    <w:p>
      <w:pPr>
        <w:ind w:left="2240" w:hanging="936"/>
        <w:spacing w:after="0"/>
        <w:tabs>
          <w:tab w:leader="none" w:pos="2240"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Acquired Indebtedness in an amount not to exceed $20,000,000 outstanding at any one time,</w:t>
      </w:r>
    </w:p>
    <w:p>
      <w:pPr>
        <w:spacing w:after="0" w:line="225" w:lineRule="exact"/>
        <w:rPr>
          <w:rFonts w:ascii="Arial" w:cs="Arial" w:eastAsia="Arial" w:hAnsi="Arial"/>
          <w:sz w:val="18"/>
          <w:szCs w:val="18"/>
          <w:color w:val="010000"/>
        </w:rPr>
      </w:pPr>
    </w:p>
    <w:p>
      <w:pPr>
        <w:ind w:left="2240" w:hanging="936"/>
        <w:spacing w:after="0"/>
        <w:tabs>
          <w:tab w:leader="none" w:pos="2240"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Indebtedness incurred in the ordinary course of business under performance, surety, statutory, or appeal bonds,</w:t>
      </w:r>
    </w:p>
    <w:p>
      <w:pPr>
        <w:spacing w:after="0" w:line="225" w:lineRule="exact"/>
        <w:rPr>
          <w:rFonts w:ascii="Arial" w:cs="Arial" w:eastAsia="Arial" w:hAnsi="Arial"/>
          <w:sz w:val="18"/>
          <w:szCs w:val="18"/>
          <w:color w:val="010000"/>
        </w:rPr>
      </w:pPr>
    </w:p>
    <w:p>
      <w:pPr>
        <w:jc w:val="both"/>
        <w:ind w:firstLine="1304"/>
        <w:spacing w:after="0" w:line="311" w:lineRule="auto"/>
        <w:tabs>
          <w:tab w:leader="none" w:pos="2302" w:val="left"/>
        </w:tabs>
        <w:numPr>
          <w:ilvl w:val="0"/>
          <w:numId w:val="59"/>
        </w:numPr>
        <w:rPr>
          <w:rFonts w:ascii="Arial" w:cs="Arial" w:eastAsia="Arial" w:hAnsi="Arial"/>
          <w:sz w:val="16"/>
          <w:szCs w:val="16"/>
          <w:color w:val="010000"/>
        </w:rPr>
      </w:pPr>
      <w:r>
        <w:rPr>
          <w:rFonts w:ascii="Arial" w:cs="Arial" w:eastAsia="Arial" w:hAnsi="Arial"/>
          <w:sz w:val="16"/>
          <w:szCs w:val="16"/>
          <w:color w:val="auto"/>
        </w:rPr>
        <w:t>Indebtedness owed to any Person providing property, casualty, liability, or other insurance to any Loan Party or any of its Restricted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48" w:lineRule="exact"/>
        <w:rPr>
          <w:rFonts w:ascii="Arial" w:cs="Arial" w:eastAsia="Arial" w:hAnsi="Arial"/>
          <w:sz w:val="16"/>
          <w:szCs w:val="16"/>
          <w:color w:val="010000"/>
        </w:rPr>
      </w:pPr>
    </w:p>
    <w:p>
      <w:pPr>
        <w:jc w:val="both"/>
        <w:ind w:firstLine="1304"/>
        <w:spacing w:after="0" w:line="263" w:lineRule="auto"/>
        <w:tabs>
          <w:tab w:leader="none" w:pos="2257"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the incurrence by any Loan Party or its Restricted Subsidiaries of Indebtedness under Hedge Agreements that is incurred for the bona fide purpose of hedging the interest rate, commodity, or foreign currency risks associated with such Loan Party’s or such Subsidiary’s operations and not for speculative purposes,</w:t>
      </w:r>
    </w:p>
    <w:p>
      <w:pPr>
        <w:spacing w:after="0" w:line="183" w:lineRule="exact"/>
        <w:rPr>
          <w:rFonts w:ascii="Arial" w:cs="Arial" w:eastAsia="Arial" w:hAnsi="Arial"/>
          <w:sz w:val="18"/>
          <w:szCs w:val="18"/>
          <w:color w:val="010000"/>
        </w:rPr>
      </w:pPr>
    </w:p>
    <w:p>
      <w:pPr>
        <w:jc w:val="both"/>
        <w:ind w:firstLine="1304"/>
        <w:spacing w:after="0" w:line="263" w:lineRule="auto"/>
        <w:tabs>
          <w:tab w:leader="none" w:pos="2383"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Indebtedness (i) constituting Bank Products or (ii) that is incurred in the ordinary course of business in respect of credit cards, credit card processing services, debit cards, stored value cards, commercial cards (including so-called “purchase cards”, “procurement cards” or “p-cards”), or Cash Management Services,</w:t>
      </w:r>
    </w:p>
    <w:p>
      <w:pPr>
        <w:spacing w:after="0" w:line="183" w:lineRule="exact"/>
        <w:rPr>
          <w:rFonts w:ascii="Arial" w:cs="Arial" w:eastAsia="Arial" w:hAnsi="Arial"/>
          <w:sz w:val="18"/>
          <w:szCs w:val="18"/>
          <w:color w:val="010000"/>
        </w:rPr>
      </w:pPr>
    </w:p>
    <w:p>
      <w:pPr>
        <w:jc w:val="both"/>
        <w:ind w:firstLine="1304"/>
        <w:spacing w:after="0" w:line="296" w:lineRule="auto"/>
        <w:tabs>
          <w:tab w:leader="none" w:pos="2433" w:val="left"/>
        </w:tabs>
        <w:numPr>
          <w:ilvl w:val="0"/>
          <w:numId w:val="59"/>
        </w:numPr>
        <w:rPr>
          <w:rFonts w:ascii="Arial" w:cs="Arial" w:eastAsia="Arial" w:hAnsi="Arial"/>
          <w:sz w:val="16"/>
          <w:szCs w:val="16"/>
          <w:color w:val="010000"/>
        </w:rPr>
      </w:pPr>
      <w:r>
        <w:rPr>
          <w:rFonts w:ascii="Arial" w:cs="Arial" w:eastAsia="Arial" w:hAnsi="Arial"/>
          <w:sz w:val="16"/>
          <w:szCs w:val="16"/>
          <w:color w:val="auto"/>
        </w:rPr>
        <w:t>unsecured Indebtedness of any Loan Party owing to employees, former employees, former officers, directors, or former directors (or any spouses, ex-spouses, or estates of any of the foregoing) incurred in connection with the repurchase or redemption by such Loan Party of the Equity Interests of Parent that has been issued to such Persons, so long as (i) no Default or Event of Default has occurred and is continuing or would result from the incurrence of such Indebtedness, (ii) the aggregate amount of all such Indebtedness outstanding at any one time does not exceed $2,400,000, and (iii) such Indebtedness is subordinated in right of payment to the Obligations on terms and conditions reasonably acceptable to Agent,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jc w:val="both"/>
        <w:ind w:firstLine="1304"/>
        <w:spacing w:after="0" w:line="263" w:lineRule="auto"/>
        <w:tabs>
          <w:tab w:leader="none" w:pos="2374"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contingent liabilities in respect of any indemnification obligation, adjustment of purchase price, non-compete, or similar obligation of any Loan Party incurred in connection with the consummation of one or more Permitted Acquisitions with respect to which the Payment Conditions are satisfied, or Permitted Dispositions,</w:t>
      </w:r>
    </w:p>
    <w:p>
      <w:pPr>
        <w:spacing w:after="0" w:line="183" w:lineRule="exact"/>
        <w:rPr>
          <w:rFonts w:ascii="Arial" w:cs="Arial" w:eastAsia="Arial" w:hAnsi="Arial"/>
          <w:sz w:val="18"/>
          <w:szCs w:val="18"/>
          <w:color w:val="010000"/>
        </w:rPr>
      </w:pPr>
    </w:p>
    <w:p>
      <w:pPr>
        <w:ind w:left="2240" w:hanging="936"/>
        <w:spacing w:after="0"/>
        <w:tabs>
          <w:tab w:leader="none" w:pos="2240"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Indebtedness composing Permitted Investments,</w:t>
      </w:r>
    </w:p>
    <w:p>
      <w:pPr>
        <w:spacing w:after="0" w:line="225" w:lineRule="exact"/>
        <w:rPr>
          <w:rFonts w:ascii="Arial" w:cs="Arial" w:eastAsia="Arial" w:hAnsi="Arial"/>
          <w:sz w:val="18"/>
          <w:szCs w:val="18"/>
          <w:color w:val="010000"/>
        </w:rPr>
      </w:pPr>
    </w:p>
    <w:p>
      <w:pPr>
        <w:ind w:left="2200" w:hanging="896"/>
        <w:spacing w:after="0"/>
        <w:tabs>
          <w:tab w:leader="none" w:pos="2200" w:val="left"/>
        </w:tabs>
        <w:numPr>
          <w:ilvl w:val="0"/>
          <w:numId w:val="60"/>
        </w:numPr>
        <w:rPr>
          <w:rFonts w:ascii="Arial" w:cs="Arial" w:eastAsia="Arial" w:hAnsi="Arial"/>
          <w:sz w:val="16"/>
          <w:szCs w:val="16"/>
          <w:color w:val="010000"/>
        </w:rPr>
      </w:pPr>
      <w:r>
        <w:rPr>
          <w:rFonts w:ascii="Arial" w:cs="Arial" w:eastAsia="Arial" w:hAnsi="Arial"/>
          <w:sz w:val="16"/>
          <w:szCs w:val="16"/>
          <w:color w:val="auto"/>
        </w:rPr>
        <w:t>Indebtedness incurred in respect of netting services, overdraft protection, and other like services, in each case, incurred in the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ordinary course of business,</w:t>
      </w:r>
    </w:p>
    <w:p>
      <w:pPr>
        <w:spacing w:after="0" w:line="210" w:lineRule="exact"/>
        <w:rPr>
          <w:rFonts w:ascii="Arial" w:cs="Arial" w:eastAsia="Arial" w:hAnsi="Arial"/>
          <w:sz w:val="16"/>
          <w:szCs w:val="16"/>
          <w:color w:val="010000"/>
        </w:rPr>
      </w:pPr>
    </w:p>
    <w:p>
      <w:pPr>
        <w:jc w:val="both"/>
        <w:ind w:firstLine="1304"/>
        <w:spacing w:after="0" w:line="263" w:lineRule="auto"/>
        <w:tabs>
          <w:tab w:leader="none" w:pos="2311"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Indebtedness of any Loan Party or its Restricted Subsidiaries in respect of Earn-Outs owing to sellers of assets or Equity Interests to such Loan Party or its Subsidiaries that is incurred in connection with the consummation of one or more Permitted Acquisitions, so long as such Indebtedness is on terms and conditions reasonably acceptable to Agent,</w:t>
      </w:r>
    </w:p>
    <w:p>
      <w:pPr>
        <w:spacing w:after="0" w:line="183" w:lineRule="exact"/>
        <w:rPr>
          <w:rFonts w:ascii="Arial" w:cs="Arial" w:eastAsia="Arial" w:hAnsi="Arial"/>
          <w:sz w:val="18"/>
          <w:szCs w:val="18"/>
          <w:color w:val="010000"/>
        </w:rPr>
      </w:pPr>
    </w:p>
    <w:p>
      <w:pPr>
        <w:jc w:val="both"/>
        <w:ind w:firstLine="1304"/>
        <w:spacing w:after="0" w:line="263" w:lineRule="auto"/>
        <w:tabs>
          <w:tab w:leader="none" w:pos="2576"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 xml:space="preserve">Indebtedness in an aggregate outstanding principal amount not to exceed $6,000,000 at any time outstanding for all Subsidiaries of each Loan Party that are CFCs;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Indebtedness is not directly or indirectly recourse to any of the Loan Parties or of their respective assets,</w:t>
      </w:r>
    </w:p>
    <w:p>
      <w:pPr>
        <w:spacing w:after="0" w:line="183" w:lineRule="exact"/>
        <w:rPr>
          <w:rFonts w:ascii="Arial" w:cs="Arial" w:eastAsia="Arial" w:hAnsi="Arial"/>
          <w:sz w:val="18"/>
          <w:szCs w:val="18"/>
          <w:color w:val="010000"/>
        </w:rPr>
      </w:pPr>
    </w:p>
    <w:p>
      <w:pPr>
        <w:ind w:firstLine="1304"/>
        <w:spacing w:after="0" w:line="277" w:lineRule="auto"/>
        <w:tabs>
          <w:tab w:leader="none" w:pos="2285"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accrual of interest, accretion or amortization of original issue discount, or the payment of interest in kind, in each case, on Indebtedness that otherwise constitutes Permitted Indebtedness,</w:t>
      </w:r>
    </w:p>
    <w:p>
      <w:pPr>
        <w:spacing w:after="0" w:line="170" w:lineRule="exact"/>
        <w:rPr>
          <w:rFonts w:ascii="Arial" w:cs="Arial" w:eastAsia="Arial" w:hAnsi="Arial"/>
          <w:sz w:val="18"/>
          <w:szCs w:val="18"/>
          <w:color w:val="010000"/>
        </w:rPr>
      </w:pPr>
    </w:p>
    <w:p>
      <w:pPr>
        <w:ind w:left="2260" w:hanging="956"/>
        <w:spacing w:after="0"/>
        <w:tabs>
          <w:tab w:leader="none" w:pos="2260"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Subordinated Indebtedness, the aggregate outstanding amount of which does not exceed $6,000,000,</w:t>
      </w:r>
    </w:p>
    <w:p>
      <w:pPr>
        <w:spacing w:after="0" w:line="225" w:lineRule="exact"/>
        <w:rPr>
          <w:rFonts w:ascii="Arial" w:cs="Arial" w:eastAsia="Arial" w:hAnsi="Arial"/>
          <w:sz w:val="18"/>
          <w:szCs w:val="18"/>
          <w:color w:val="010000"/>
        </w:rPr>
      </w:pPr>
    </w:p>
    <w:p>
      <w:pPr>
        <w:ind w:left="2240" w:hanging="936"/>
        <w:spacing w:after="0"/>
        <w:tabs>
          <w:tab w:leader="none" w:pos="2240"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Permitted Additional Secured Indebtedness,</w:t>
      </w:r>
    </w:p>
    <w:p>
      <w:pPr>
        <w:spacing w:after="0" w:line="225" w:lineRule="exact"/>
        <w:rPr>
          <w:rFonts w:ascii="Arial" w:cs="Arial" w:eastAsia="Arial" w:hAnsi="Arial"/>
          <w:sz w:val="18"/>
          <w:szCs w:val="18"/>
          <w:color w:val="010000"/>
        </w:rPr>
      </w:pPr>
    </w:p>
    <w:p>
      <w:pPr>
        <w:ind w:left="2240" w:hanging="936"/>
        <w:spacing w:after="0"/>
        <w:tabs>
          <w:tab w:leader="none" w:pos="2240"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Indebtedness consisting of the financing of insurance premiums in the ordinary course of business, and</w:t>
      </w:r>
    </w:p>
    <w:p>
      <w:pPr>
        <w:spacing w:after="0" w:line="225" w:lineRule="exact"/>
        <w:rPr>
          <w:rFonts w:ascii="Arial" w:cs="Arial" w:eastAsia="Arial" w:hAnsi="Arial"/>
          <w:sz w:val="18"/>
          <w:szCs w:val="18"/>
          <w:color w:val="010000"/>
        </w:rPr>
      </w:pPr>
    </w:p>
    <w:p>
      <w:pPr>
        <w:ind w:left="2300" w:hanging="996"/>
        <w:spacing w:after="0"/>
        <w:tabs>
          <w:tab w:leader="none" w:pos="2300" w:val="left"/>
        </w:tabs>
        <w:numPr>
          <w:ilvl w:val="0"/>
          <w:numId w:val="60"/>
        </w:numPr>
        <w:rPr>
          <w:rFonts w:ascii="Arial" w:cs="Arial" w:eastAsia="Arial" w:hAnsi="Arial"/>
          <w:sz w:val="16"/>
          <w:szCs w:val="16"/>
          <w:color w:val="010000"/>
        </w:rPr>
      </w:pPr>
      <w:r>
        <w:rPr>
          <w:rFonts w:ascii="Arial" w:cs="Arial" w:eastAsia="Arial" w:hAnsi="Arial"/>
          <w:sz w:val="16"/>
          <w:szCs w:val="16"/>
          <w:color w:val="auto"/>
        </w:rPr>
        <w:t>Indebtedness of the Loan Parties or any of their Restricted Subsidiaries in an aggregate outstanding amount not to exceed</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$1,000,000 at any one time.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Indebtedness Prepayments</w:t>
      </w:r>
      <w:r>
        <w:rPr>
          <w:rFonts w:ascii="Arial" w:cs="Arial" w:eastAsia="Arial" w:hAnsi="Arial"/>
          <w:sz w:val="18"/>
          <w:szCs w:val="18"/>
          <w:color w:val="auto"/>
        </w:rPr>
        <w:t xml:space="preserve">” means, subject in all respects to </w:t>
      </w:r>
      <w:r>
        <w:rPr>
          <w:rFonts w:ascii="Arial" w:cs="Arial" w:eastAsia="Arial" w:hAnsi="Arial"/>
          <w:sz w:val="18"/>
          <w:szCs w:val="18"/>
          <w:u w:val="single" w:color="auto"/>
          <w:color w:val="auto"/>
        </w:rPr>
        <w:t>Section 6.15</w:t>
      </w:r>
      <w:r>
        <w:rPr>
          <w:rFonts w:ascii="Arial" w:cs="Arial" w:eastAsia="Arial" w:hAnsi="Arial"/>
          <w:sz w:val="18"/>
          <w:szCs w:val="18"/>
          <w:color w:val="auto"/>
        </w:rPr>
        <w:t>:</w:t>
      </w:r>
    </w:p>
    <w:p>
      <w:pPr>
        <w:spacing w:after="0" w:line="225" w:lineRule="exact"/>
        <w:rPr>
          <w:sz w:val="20"/>
          <w:szCs w:val="20"/>
          <w:color w:val="auto"/>
        </w:rPr>
      </w:pPr>
    </w:p>
    <w:p>
      <w:pPr>
        <w:ind w:left="2280" w:hanging="976"/>
        <w:spacing w:after="0"/>
        <w:tabs>
          <w:tab w:leader="none" w:pos="2280" w:val="left"/>
        </w:tabs>
        <w:numPr>
          <w:ilvl w:val="0"/>
          <w:numId w:val="61"/>
        </w:numPr>
        <w:rPr>
          <w:rFonts w:ascii="Arial" w:cs="Arial" w:eastAsia="Arial" w:hAnsi="Arial"/>
          <w:sz w:val="16"/>
          <w:szCs w:val="16"/>
          <w:color w:val="010000"/>
        </w:rPr>
      </w:pPr>
      <w:r>
        <w:rPr>
          <w:rFonts w:ascii="Arial" w:cs="Arial" w:eastAsia="Arial" w:hAnsi="Arial"/>
          <w:sz w:val="16"/>
          <w:szCs w:val="16"/>
          <w:color w:val="auto"/>
        </w:rPr>
        <w:t>any prepayment, redemption, purchase, defeasance or other satisfaction of Indebtedness when the Payment Conditions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satisfied,</w:t>
      </w:r>
    </w:p>
    <w:p>
      <w:pPr>
        <w:spacing w:after="0" w:line="211" w:lineRule="exact"/>
        <w:rPr>
          <w:sz w:val="20"/>
          <w:szCs w:val="20"/>
          <w:color w:val="auto"/>
        </w:rPr>
      </w:pPr>
    </w:p>
    <w:p>
      <w:pPr>
        <w:ind w:left="2240" w:hanging="936"/>
        <w:spacing w:after="0"/>
        <w:tabs>
          <w:tab w:leader="none" w:pos="2240"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the refinancing of any Indebtedness with the proceeds of, or in exchange for, any Refinancing Indebtedness,</w:t>
      </w:r>
    </w:p>
    <w:p>
      <w:pPr>
        <w:spacing w:after="0" w:line="225" w:lineRule="exact"/>
        <w:rPr>
          <w:rFonts w:ascii="Arial" w:cs="Arial" w:eastAsia="Arial" w:hAnsi="Arial"/>
          <w:sz w:val="18"/>
          <w:szCs w:val="18"/>
          <w:color w:val="010000"/>
        </w:rPr>
      </w:pPr>
    </w:p>
    <w:p>
      <w:pPr>
        <w:ind w:firstLine="1304"/>
        <w:spacing w:after="0" w:line="277" w:lineRule="auto"/>
        <w:tabs>
          <w:tab w:leader="none" w:pos="2296"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the conversion (or exchange) of any Indebtedness to Equity Interests (other than Disqualified Equity Interests) of Parent or any of its direct or indirect parents,</w:t>
      </w:r>
    </w:p>
    <w:p>
      <w:pPr>
        <w:spacing w:after="0" w:line="170" w:lineRule="exact"/>
        <w:rPr>
          <w:rFonts w:ascii="Arial" w:cs="Arial" w:eastAsia="Arial" w:hAnsi="Arial"/>
          <w:sz w:val="18"/>
          <w:szCs w:val="18"/>
          <w:color w:val="010000"/>
        </w:rPr>
      </w:pPr>
    </w:p>
    <w:p>
      <w:pPr>
        <w:ind w:firstLine="1304"/>
        <w:spacing w:after="0" w:line="342" w:lineRule="auto"/>
        <w:tabs>
          <w:tab w:leader="none" w:pos="2279" w:val="left"/>
        </w:tabs>
        <w:numPr>
          <w:ilvl w:val="0"/>
          <w:numId w:val="62"/>
        </w:numPr>
        <w:rPr>
          <w:rFonts w:ascii="Arial" w:cs="Arial" w:eastAsia="Arial" w:hAnsi="Arial"/>
          <w:sz w:val="16"/>
          <w:szCs w:val="16"/>
          <w:color w:val="010000"/>
        </w:rPr>
      </w:pPr>
      <w:r>
        <w:rPr>
          <w:rFonts w:ascii="Arial" w:cs="Arial" w:eastAsia="Arial" w:hAnsi="Arial"/>
          <w:sz w:val="16"/>
          <w:szCs w:val="16"/>
          <w:color w:val="auto"/>
        </w:rPr>
        <w:t>so long as no Default or Event of Default shall have occurred and be continuing or would result therefrom, any prepayment of Permitted Intercompany Advances (to the extent permitted pursuant to the terms of any applicable Intercompany Subordination Agreement),</w:t>
      </w:r>
    </w:p>
    <w:p>
      <w:pPr>
        <w:spacing w:after="0" w:line="123" w:lineRule="exact"/>
        <w:rPr>
          <w:rFonts w:ascii="Arial" w:cs="Arial" w:eastAsia="Arial" w:hAnsi="Arial"/>
          <w:sz w:val="16"/>
          <w:szCs w:val="16"/>
          <w:color w:val="010000"/>
        </w:rPr>
      </w:pPr>
    </w:p>
    <w:p>
      <w:pPr>
        <w:ind w:left="2220" w:hanging="916"/>
        <w:spacing w:after="0"/>
        <w:tabs>
          <w:tab w:leader="none" w:pos="2220" w:val="left"/>
        </w:tabs>
        <w:numPr>
          <w:ilvl w:val="0"/>
          <w:numId w:val="62"/>
        </w:numPr>
        <w:rPr>
          <w:rFonts w:ascii="Arial" w:cs="Arial" w:eastAsia="Arial" w:hAnsi="Arial"/>
          <w:sz w:val="17"/>
          <w:szCs w:val="17"/>
          <w:color w:val="010000"/>
        </w:rPr>
      </w:pPr>
      <w:r>
        <w:rPr>
          <w:rFonts w:ascii="Arial" w:cs="Arial" w:eastAsia="Arial" w:hAnsi="Arial"/>
          <w:sz w:val="17"/>
          <w:szCs w:val="17"/>
          <w:color w:val="auto"/>
        </w:rPr>
        <w:t>any prepayment of Indebtedness with the proceeds of any other Indebtedness otherwise permitted hereunder, and</w:t>
      </w:r>
    </w:p>
    <w:p>
      <w:pPr>
        <w:spacing w:after="0" w:line="236" w:lineRule="exact"/>
        <w:rPr>
          <w:rFonts w:ascii="Arial" w:cs="Arial" w:eastAsia="Arial" w:hAnsi="Arial"/>
          <w:sz w:val="17"/>
          <w:szCs w:val="17"/>
          <w:color w:val="010000"/>
        </w:rPr>
      </w:pPr>
    </w:p>
    <w:p>
      <w:pPr>
        <w:ind w:right="20" w:firstLine="1304"/>
        <w:spacing w:after="0" w:line="277" w:lineRule="auto"/>
        <w:tabs>
          <w:tab w:leader="none" w:pos="2191"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any prepayment, redemption, purchase, defeasance or other satisfaction with the proceeds of any issuance of Equity Interests (other than Disqualified Equity Interests) of Parent or any of its direct or indirect parents.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Intercompany Advances</w:t>
      </w:r>
      <w:r>
        <w:rPr>
          <w:rFonts w:ascii="Arial" w:cs="Arial" w:eastAsia="Arial" w:hAnsi="Arial"/>
          <w:sz w:val="17"/>
          <w:szCs w:val="17"/>
          <w:color w:val="auto"/>
        </w:rPr>
        <w:t xml:space="preserve">” means, subject in all respects to </w:t>
      </w:r>
      <w:r>
        <w:rPr>
          <w:rFonts w:ascii="Arial" w:cs="Arial" w:eastAsia="Arial" w:hAnsi="Arial"/>
          <w:sz w:val="17"/>
          <w:szCs w:val="17"/>
          <w:u w:val="single" w:color="auto"/>
          <w:color w:val="auto"/>
        </w:rPr>
        <w:t>Section 6.15</w:t>
      </w:r>
      <w:r>
        <w:rPr>
          <w:rFonts w:ascii="Arial" w:cs="Arial" w:eastAsia="Arial" w:hAnsi="Arial"/>
          <w:sz w:val="17"/>
          <w:szCs w:val="17"/>
          <w:color w:val="auto"/>
        </w:rPr>
        <w:t>, loans made by (a) a Loan Party to another Loan Party (other than Parent), (b) a Subsidiary of a Loan Party that is not a Loan Party to another Subsidiary of a Loan Party that is not a Loan Party, (c) a Subsidiary of a Loan Party that is not a Loan Party to a Loan Party, so long as the parties thereto are party to an Intercompany Subordination Agreement, and (d) a Loan Party to a Subsidiary of a Loan Party that is not a Loan Party so long as (i) the aggregate amount of all such loans (by type, not by the borrower) does not exceed $10,000,000 outstanding at any one time and (ii) the Payment Conditions are satisfied.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xml:space="preserve">” means, subject in all respects to </w:t>
      </w:r>
      <w:r>
        <w:rPr>
          <w:rFonts w:ascii="Arial" w:cs="Arial" w:eastAsia="Arial" w:hAnsi="Arial"/>
          <w:sz w:val="18"/>
          <w:szCs w:val="18"/>
          <w:u w:val="single" w:color="auto"/>
          <w:color w:val="auto"/>
        </w:rPr>
        <w:t>Section 6.15</w:t>
      </w:r>
      <w:r>
        <w:rPr>
          <w:rFonts w:ascii="Arial" w:cs="Arial" w:eastAsia="Arial" w:hAnsi="Arial"/>
          <w:sz w:val="18"/>
          <w:szCs w:val="18"/>
          <w:color w:val="auto"/>
        </w:rPr>
        <w:t>:</w:t>
      </w:r>
    </w:p>
    <w:p>
      <w:pPr>
        <w:spacing w:after="0" w:line="225" w:lineRule="exact"/>
        <w:rPr>
          <w:sz w:val="20"/>
          <w:szCs w:val="20"/>
          <w:color w:val="auto"/>
        </w:rPr>
      </w:pPr>
    </w:p>
    <w:p>
      <w:pPr>
        <w:ind w:left="2220" w:hanging="916"/>
        <w:spacing w:after="0"/>
        <w:tabs>
          <w:tab w:leader="none" w:pos="222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Investments in cash and Cash Equivalents,</w:t>
      </w:r>
    </w:p>
    <w:p>
      <w:pPr>
        <w:spacing w:after="0" w:line="225" w:lineRule="exact"/>
        <w:rPr>
          <w:rFonts w:ascii="Arial" w:cs="Arial" w:eastAsia="Arial" w:hAnsi="Arial"/>
          <w:sz w:val="18"/>
          <w:szCs w:val="18"/>
          <w:color w:val="010000"/>
        </w:rPr>
      </w:pPr>
    </w:p>
    <w:p>
      <w:pPr>
        <w:ind w:left="2240" w:hanging="936"/>
        <w:spacing w:after="0"/>
        <w:tabs>
          <w:tab w:leader="none" w:pos="2240" w:val="left"/>
        </w:tabs>
        <w:numPr>
          <w:ilvl w:val="0"/>
          <w:numId w:val="63"/>
        </w:numPr>
        <w:rPr>
          <w:rFonts w:ascii="Arial" w:cs="Arial" w:eastAsia="Arial" w:hAnsi="Arial"/>
          <w:sz w:val="17"/>
          <w:szCs w:val="17"/>
          <w:color w:val="010000"/>
        </w:rPr>
      </w:pPr>
      <w:r>
        <w:rPr>
          <w:rFonts w:ascii="Arial" w:cs="Arial" w:eastAsia="Arial" w:hAnsi="Arial"/>
          <w:sz w:val="17"/>
          <w:szCs w:val="17"/>
          <w:color w:val="auto"/>
        </w:rPr>
        <w:t>Investments in negotiable instruments deposited or to be deposited for collection in the ordinary course of business,</w:t>
      </w:r>
    </w:p>
    <w:p>
      <w:pPr>
        <w:spacing w:after="0" w:line="236" w:lineRule="exact"/>
        <w:rPr>
          <w:rFonts w:ascii="Arial" w:cs="Arial" w:eastAsia="Arial" w:hAnsi="Arial"/>
          <w:sz w:val="17"/>
          <w:szCs w:val="17"/>
          <w:color w:val="010000"/>
        </w:rPr>
      </w:pPr>
    </w:p>
    <w:p>
      <w:pPr>
        <w:ind w:left="2220" w:hanging="916"/>
        <w:spacing w:after="0"/>
        <w:tabs>
          <w:tab w:leader="none" w:pos="222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advances made in connection with purchases of goods or services in the ordinary course of business,</w:t>
      </w:r>
    </w:p>
    <w:p>
      <w:pPr>
        <w:spacing w:after="0" w:line="225" w:lineRule="exact"/>
        <w:rPr>
          <w:rFonts w:ascii="Arial" w:cs="Arial" w:eastAsia="Arial" w:hAnsi="Arial"/>
          <w:sz w:val="18"/>
          <w:szCs w:val="18"/>
          <w:color w:val="010000"/>
        </w:rPr>
      </w:pPr>
    </w:p>
    <w:p>
      <w:pPr>
        <w:jc w:val="both"/>
        <w:ind w:firstLine="1304"/>
        <w:spacing w:after="0" w:line="263" w:lineRule="auto"/>
        <w:tabs>
          <w:tab w:leader="none" w:pos="2428"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w:t>
      </w:r>
    </w:p>
    <w:p>
      <w:pPr>
        <w:spacing w:after="0" w:line="183" w:lineRule="exact"/>
        <w:rPr>
          <w:rFonts w:ascii="Arial" w:cs="Arial" w:eastAsia="Arial" w:hAnsi="Arial"/>
          <w:sz w:val="18"/>
          <w:szCs w:val="18"/>
          <w:color w:val="010000"/>
        </w:rPr>
      </w:pPr>
    </w:p>
    <w:p>
      <w:pPr>
        <w:ind w:left="2260" w:hanging="956"/>
        <w:spacing w:after="0"/>
        <w:tabs>
          <w:tab w:leader="none" w:pos="2260" w:val="left"/>
        </w:tabs>
        <w:numPr>
          <w:ilvl w:val="0"/>
          <w:numId w:val="63"/>
        </w:numPr>
        <w:rPr>
          <w:rFonts w:ascii="Arial" w:cs="Arial" w:eastAsia="Arial" w:hAnsi="Arial"/>
          <w:sz w:val="16"/>
          <w:szCs w:val="16"/>
          <w:color w:val="010000"/>
        </w:rPr>
      </w:pPr>
      <w:r>
        <w:rPr>
          <w:rFonts w:ascii="Arial" w:cs="Arial" w:eastAsia="Arial" w:hAnsi="Arial"/>
          <w:sz w:val="16"/>
          <w:szCs w:val="16"/>
          <w:color w:val="auto"/>
        </w:rPr>
        <w:t xml:space="preserve">Investments owned by any Loan Party or any of its Subsidiaries on the Closing Date and set forth on </w:t>
      </w:r>
      <w:r>
        <w:rPr>
          <w:rFonts w:ascii="Arial" w:cs="Arial" w:eastAsia="Arial" w:hAnsi="Arial"/>
          <w:sz w:val="16"/>
          <w:szCs w:val="16"/>
          <w:u w:val="single" w:color="auto"/>
          <w:color w:val="auto"/>
        </w:rPr>
        <w:t>Schedule P-1</w:t>
      </w:r>
      <w:r>
        <w:rPr>
          <w:rFonts w:ascii="Arial" w:cs="Arial" w:eastAsia="Arial" w:hAnsi="Arial"/>
          <w:sz w:val="16"/>
          <w:szCs w:val="16"/>
          <w:color w:val="auto"/>
        </w:rPr>
        <w:t xml:space="preserve"> to this</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010000"/>
        </w:rPr>
      </w:pPr>
    </w:p>
    <w:p>
      <w:pPr>
        <w:ind w:left="2240" w:hanging="936"/>
        <w:spacing w:after="0"/>
        <w:tabs>
          <w:tab w:leader="none" w:pos="224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guarantees permitted under the definition of Permitted Indebtedness,</w:t>
      </w:r>
    </w:p>
    <w:p>
      <w:pPr>
        <w:spacing w:after="0" w:line="225" w:lineRule="exact"/>
        <w:rPr>
          <w:rFonts w:ascii="Arial" w:cs="Arial" w:eastAsia="Arial" w:hAnsi="Arial"/>
          <w:sz w:val="18"/>
          <w:szCs w:val="18"/>
          <w:color w:val="010000"/>
        </w:rPr>
      </w:pPr>
    </w:p>
    <w:p>
      <w:pPr>
        <w:ind w:left="2240" w:hanging="936"/>
        <w:spacing w:after="0"/>
        <w:tabs>
          <w:tab w:leader="none" w:pos="224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Permitted Intercompany Advances,</w:t>
      </w:r>
    </w:p>
    <w:p>
      <w:pPr>
        <w:spacing w:after="0" w:line="225" w:lineRule="exact"/>
        <w:rPr>
          <w:rFonts w:ascii="Arial" w:cs="Arial" w:eastAsia="Arial" w:hAnsi="Arial"/>
          <w:sz w:val="18"/>
          <w:szCs w:val="18"/>
          <w:color w:val="010000"/>
        </w:rPr>
      </w:pPr>
    </w:p>
    <w:p>
      <w:pPr>
        <w:jc w:val="both"/>
        <w:ind w:firstLine="1304"/>
        <w:spacing w:after="0" w:line="263" w:lineRule="auto"/>
        <w:tabs>
          <w:tab w:leader="none" w:pos="2239"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Equity Interests or other securities acquired in connection with the satisfaction or enforcement of Indebtedness or claims due or owing to a Loan Party or its Subsidiaries (in bankruptcy of customers or suppliers or otherwise outside the ordinary course of business) or as security for any such Indebtedness or claims,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ind w:left="2240" w:hanging="936"/>
        <w:spacing w:after="0"/>
        <w:tabs>
          <w:tab w:leader="none" w:pos="2240"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deposits of cash made in the ordinary course of business to secure performance of operating leases,</w:t>
      </w:r>
    </w:p>
    <w:p>
      <w:pPr>
        <w:spacing w:after="0" w:line="225" w:lineRule="exact"/>
        <w:rPr>
          <w:rFonts w:ascii="Arial" w:cs="Arial" w:eastAsia="Arial" w:hAnsi="Arial"/>
          <w:sz w:val="18"/>
          <w:szCs w:val="18"/>
          <w:color w:val="010000"/>
        </w:rPr>
      </w:pPr>
    </w:p>
    <w:p>
      <w:pPr>
        <w:jc w:val="both"/>
        <w:ind w:firstLine="1304"/>
        <w:spacing w:after="0" w:line="259" w:lineRule="auto"/>
        <w:tabs>
          <w:tab w:leader="none" w:pos="2429"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(i) non-cash loans and advances to employees, officers, and directors of a Loan Party or any of its Subsidiaries for the purpose of purchasing Equity Interests in Parent so long as the proceeds of such loans are used in their entirety to purchase such Equity Interests in Parent, and (ii) loans and advances to employees and officers of a Loan Party or any of its Subsidiaries in the ordinary course of business for any other business purpose and in an aggregate amount not to exceed $2,400,000 at any one time,</w:t>
      </w:r>
    </w:p>
    <w:p>
      <w:pPr>
        <w:spacing w:after="0" w:line="186" w:lineRule="exact"/>
        <w:rPr>
          <w:rFonts w:ascii="Arial" w:cs="Arial" w:eastAsia="Arial" w:hAnsi="Arial"/>
          <w:sz w:val="18"/>
          <w:szCs w:val="18"/>
          <w:color w:val="010000"/>
        </w:rPr>
      </w:pPr>
    </w:p>
    <w:p>
      <w:pPr>
        <w:ind w:left="2240" w:hanging="936"/>
        <w:spacing w:after="0"/>
        <w:tabs>
          <w:tab w:leader="none" w:pos="2240"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Permitted Acquisitions with respect to which the Payment Conditions are met,</w:t>
      </w:r>
    </w:p>
    <w:p>
      <w:pPr>
        <w:spacing w:after="0" w:line="225" w:lineRule="exact"/>
        <w:rPr>
          <w:rFonts w:ascii="Arial" w:cs="Arial" w:eastAsia="Arial" w:hAnsi="Arial"/>
          <w:sz w:val="18"/>
          <w:szCs w:val="18"/>
          <w:color w:val="010000"/>
        </w:rPr>
      </w:pPr>
    </w:p>
    <w:p>
      <w:pPr>
        <w:ind w:firstLine="1304"/>
        <w:spacing w:after="0" w:line="277" w:lineRule="auto"/>
        <w:tabs>
          <w:tab w:leader="none" w:pos="2257"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Investments in the form of capital contributions and the acquisition of Equity Interests made by any Loan Party in any other Loan Party (other than capital contributions to or the acquisition of Equity Interests of Parent),</w:t>
      </w:r>
    </w:p>
    <w:p>
      <w:pPr>
        <w:spacing w:after="0" w:line="170" w:lineRule="exact"/>
        <w:rPr>
          <w:rFonts w:ascii="Arial" w:cs="Arial" w:eastAsia="Arial" w:hAnsi="Arial"/>
          <w:sz w:val="18"/>
          <w:szCs w:val="18"/>
          <w:color w:val="010000"/>
        </w:rPr>
      </w:pPr>
    </w:p>
    <w:p>
      <w:pPr>
        <w:ind w:right="20" w:firstLine="1304"/>
        <w:spacing w:after="0" w:line="277" w:lineRule="auto"/>
        <w:tabs>
          <w:tab w:leader="none" w:pos="2338"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Investments resulting from entering into (i) Bank Product Agreements, or (ii) agreements relative to obligations permitted under clause (j) of the definition of Permitted Indebtedness,</w:t>
      </w:r>
    </w:p>
    <w:p>
      <w:pPr>
        <w:spacing w:after="0" w:line="170" w:lineRule="exact"/>
        <w:rPr>
          <w:rFonts w:ascii="Arial" w:cs="Arial" w:eastAsia="Arial" w:hAnsi="Arial"/>
          <w:sz w:val="18"/>
          <w:szCs w:val="18"/>
          <w:color w:val="010000"/>
        </w:rPr>
      </w:pPr>
    </w:p>
    <w:p>
      <w:pPr>
        <w:ind w:right="20" w:firstLine="1304"/>
        <w:spacing w:after="0" w:line="277" w:lineRule="auto"/>
        <w:tabs>
          <w:tab w:leader="none" w:pos="2194"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equity Investments by any Loan Party in any Subsidiary of such Loan Party which is required by law to maintain a minimum net capital requirement or as may be otherwise required by applicable law,</w:t>
      </w:r>
    </w:p>
    <w:p>
      <w:pPr>
        <w:spacing w:after="0" w:line="170" w:lineRule="exact"/>
        <w:rPr>
          <w:rFonts w:ascii="Arial" w:cs="Arial" w:eastAsia="Arial" w:hAnsi="Arial"/>
          <w:sz w:val="18"/>
          <w:szCs w:val="18"/>
          <w:color w:val="010000"/>
        </w:rPr>
      </w:pPr>
    </w:p>
    <w:p>
      <w:pPr>
        <w:jc w:val="both"/>
        <w:ind w:firstLine="1304"/>
        <w:spacing w:after="0" w:line="263" w:lineRule="auto"/>
        <w:tabs>
          <w:tab w:leader="none" w:pos="2509"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Investments held by a Person acquired in a Permitted Acquisitions with respect to which the Payment Conditions are satisfied, to the extent that such Investments were not made in contemplation of or in connection with such Permitted Acquisition and were in existence on the date of such Permitted Acquisition,</w:t>
      </w:r>
    </w:p>
    <w:p>
      <w:pPr>
        <w:spacing w:after="0" w:line="183" w:lineRule="exact"/>
        <w:rPr>
          <w:rFonts w:ascii="Arial" w:cs="Arial" w:eastAsia="Arial" w:hAnsi="Arial"/>
          <w:sz w:val="18"/>
          <w:szCs w:val="18"/>
          <w:color w:val="010000"/>
        </w:rPr>
      </w:pPr>
    </w:p>
    <w:p>
      <w:pPr>
        <w:ind w:right="20" w:firstLine="1304"/>
        <w:spacing w:after="0" w:line="277" w:lineRule="auto"/>
        <w:tabs>
          <w:tab w:leader="none" w:pos="2284"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Investments to the extent that payment for such Investments is made with Equity Interests (other than Disqualified Equity Interests) of Parent or any of its direct or indirect parents, or the proceeds of an issuance thereof,</w:t>
      </w:r>
    </w:p>
    <w:p>
      <w:pPr>
        <w:spacing w:after="0" w:line="170" w:lineRule="exact"/>
        <w:rPr>
          <w:rFonts w:ascii="Arial" w:cs="Arial" w:eastAsia="Arial" w:hAnsi="Arial"/>
          <w:sz w:val="18"/>
          <w:szCs w:val="18"/>
          <w:color w:val="010000"/>
        </w:rPr>
      </w:pPr>
    </w:p>
    <w:p>
      <w:pPr>
        <w:ind w:right="20" w:firstLine="1304"/>
        <w:spacing w:after="0" w:line="277" w:lineRule="auto"/>
        <w:tabs>
          <w:tab w:leader="none" w:pos="2324"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Investments made pursuant to agreements in effect on the Closing Date that have been fully disclosed to Agent (and not amended after the Closing Date without the prior written consent of Agent),</w:t>
      </w:r>
    </w:p>
    <w:p>
      <w:pPr>
        <w:spacing w:after="0" w:line="170" w:lineRule="exact"/>
        <w:rPr>
          <w:rFonts w:ascii="Arial" w:cs="Arial" w:eastAsia="Arial" w:hAnsi="Arial"/>
          <w:sz w:val="18"/>
          <w:szCs w:val="18"/>
          <w:color w:val="010000"/>
        </w:rPr>
      </w:pPr>
    </w:p>
    <w:p>
      <w:pPr>
        <w:jc w:val="both"/>
        <w:ind w:firstLine="1304"/>
        <w:spacing w:after="0" w:line="301" w:lineRule="auto"/>
        <w:tabs>
          <w:tab w:leader="none" w:pos="2285" w:val="left"/>
        </w:tabs>
        <w:numPr>
          <w:ilvl w:val="0"/>
          <w:numId w:val="64"/>
        </w:numPr>
        <w:rPr>
          <w:rFonts w:ascii="Arial" w:cs="Arial" w:eastAsia="Arial" w:hAnsi="Arial"/>
          <w:sz w:val="16"/>
          <w:szCs w:val="16"/>
          <w:color w:val="010000"/>
        </w:rPr>
      </w:pPr>
      <w:r>
        <w:rPr>
          <w:rFonts w:ascii="Arial" w:cs="Arial" w:eastAsia="Arial" w:hAnsi="Arial"/>
          <w:sz w:val="16"/>
          <w:szCs w:val="16"/>
          <w:color w:val="auto"/>
        </w:rPr>
        <w:t xml:space="preserve">Investments in Unrestricted Subsidiaries in the form of capital contributions of (or other Investments in respect of) Whole Aircraft or Whole Engines;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with respect to any such Investments in respect of Whole Engines, (x) such Whole Engines are excluded from Eligible Whole Engine Collateral as ineligible, and (y) the aggregate NOLV of such Investments shall not exceed $30,000,000 at any time (other than Investments in respect of Whole Engines comprising Specified Collateral as of the Closing Date), and (ii) the Payment Conditions are satisfied,</w:t>
      </w:r>
    </w:p>
    <w:p>
      <w:pPr>
        <w:spacing w:after="0" w:line="157" w:lineRule="exact"/>
        <w:rPr>
          <w:rFonts w:ascii="Arial" w:cs="Arial" w:eastAsia="Arial" w:hAnsi="Arial"/>
          <w:sz w:val="16"/>
          <w:szCs w:val="16"/>
          <w:color w:val="010000"/>
        </w:rPr>
      </w:pPr>
    </w:p>
    <w:p>
      <w:pPr>
        <w:jc w:val="both"/>
        <w:ind w:firstLine="1304"/>
        <w:spacing w:after="0" w:line="255" w:lineRule="auto"/>
        <w:tabs>
          <w:tab w:leader="none" w:pos="2462"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 xml:space="preserve">acquisitions of assets (including assets that constitute all or substantially all of the assets of another Person but do not constitute a division or line of business) in bulk primarily for conversion to Inventory, or to be held as Inventory, in either case consistent with Borrowers’ historical business practices;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if such acquisition is financed with the proceeds of a Revolving Loan, Average Excess Availability for the 30 day period immediately preceding the date of the consummation of such acquisition and the incurrence of such Revolving Loan, calculated on a </w:t>
      </w:r>
      <w:r>
        <w:rPr>
          <w:rFonts w:ascii="Arial" w:cs="Arial" w:eastAsia="Arial" w:hAnsi="Arial"/>
          <w:sz w:val="18"/>
          <w:szCs w:val="18"/>
          <w:i w:val="1"/>
          <w:iCs w:val="1"/>
          <w:color w:val="auto"/>
        </w:rPr>
        <w:t xml:space="preserve">pro forma </w:t>
      </w:r>
      <w:r>
        <w:rPr>
          <w:rFonts w:ascii="Arial" w:cs="Arial" w:eastAsia="Arial" w:hAnsi="Arial"/>
          <w:sz w:val="18"/>
          <w:szCs w:val="18"/>
          <w:color w:val="auto"/>
        </w:rPr>
        <w:t>basis as if such acquisition was consummated and such Revolving Loan was incurred on the first day of such period, is not less than 15%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Revolver Amount, and</w:t>
      </w:r>
    </w:p>
    <w:p>
      <w:pPr>
        <w:spacing w:after="0" w:line="192" w:lineRule="exact"/>
        <w:rPr>
          <w:rFonts w:ascii="Arial" w:cs="Arial" w:eastAsia="Arial" w:hAnsi="Arial"/>
          <w:sz w:val="18"/>
          <w:szCs w:val="18"/>
          <w:color w:val="010000"/>
        </w:rPr>
      </w:pPr>
    </w:p>
    <w:p>
      <w:pPr>
        <w:ind w:left="2240" w:hanging="936"/>
        <w:spacing w:after="0"/>
        <w:tabs>
          <w:tab w:leader="none" w:pos="2240"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Investments so long as the Payment Conditions are satisfied.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subject in all respects to </w:t>
      </w:r>
      <w:r>
        <w:rPr>
          <w:rFonts w:ascii="Arial" w:cs="Arial" w:eastAsia="Arial" w:hAnsi="Arial"/>
          <w:sz w:val="18"/>
          <w:szCs w:val="18"/>
          <w:u w:val="single" w:color="auto"/>
          <w:color w:val="auto"/>
        </w:rPr>
        <w:t>Section 6.15</w:t>
      </w:r>
      <w:r>
        <w:rPr>
          <w:rFonts w:ascii="Arial" w:cs="Arial" w:eastAsia="Arial" w:hAnsi="Arial"/>
          <w:sz w:val="18"/>
          <w:szCs w:val="18"/>
          <w:color w:val="auto"/>
        </w:rPr>
        <w:t>:</w:t>
      </w:r>
    </w:p>
    <w:p>
      <w:pPr>
        <w:spacing w:after="0" w:line="225" w:lineRule="exact"/>
        <w:rPr>
          <w:sz w:val="20"/>
          <w:szCs w:val="20"/>
          <w:color w:val="auto"/>
        </w:rPr>
      </w:pPr>
    </w:p>
    <w:p>
      <w:pPr>
        <w:ind w:left="2260" w:hanging="956"/>
        <w:spacing w:after="0"/>
        <w:tabs>
          <w:tab w:leader="none" w:pos="2260"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Liens granted to, or for the benefit of, Agent to secure the Obligations,</w:t>
      </w:r>
    </w:p>
    <w:p>
      <w:pPr>
        <w:spacing w:after="0" w:line="225" w:lineRule="exact"/>
        <w:rPr>
          <w:rFonts w:ascii="Arial" w:cs="Arial" w:eastAsia="Arial" w:hAnsi="Arial"/>
          <w:sz w:val="18"/>
          <w:szCs w:val="18"/>
          <w:color w:val="010000"/>
        </w:rPr>
      </w:pPr>
    </w:p>
    <w:p>
      <w:pPr>
        <w:ind w:right="20" w:firstLine="1304"/>
        <w:spacing w:after="0" w:line="308" w:lineRule="auto"/>
        <w:tabs>
          <w:tab w:leader="none" w:pos="2279" w:val="left"/>
        </w:tabs>
        <w:numPr>
          <w:ilvl w:val="0"/>
          <w:numId w:val="65"/>
        </w:numPr>
        <w:rPr>
          <w:rFonts w:ascii="Arial" w:cs="Arial" w:eastAsia="Arial" w:hAnsi="Arial"/>
          <w:sz w:val="17"/>
          <w:szCs w:val="17"/>
          <w:color w:val="010000"/>
        </w:rPr>
      </w:pPr>
      <w:r>
        <w:rPr>
          <w:rFonts w:ascii="Arial" w:cs="Arial" w:eastAsia="Arial" w:hAnsi="Arial"/>
          <w:sz w:val="17"/>
          <w:szCs w:val="17"/>
          <w:color w:val="auto"/>
        </w:rPr>
        <w:t>Liens for unpaid Taxes, assessments, or other governmental charges or levies that either (i) are not yet delinquent, or (ii) do not have priority over Agent’s Liens and the underlying Taxes, assessments, or charges or levies are the subject of Permitted Protests,</w:t>
      </w:r>
    </w:p>
    <w:p>
      <w:pPr>
        <w:spacing w:after="0" w:line="146" w:lineRule="exact"/>
        <w:rPr>
          <w:rFonts w:ascii="Arial" w:cs="Arial" w:eastAsia="Arial" w:hAnsi="Arial"/>
          <w:sz w:val="17"/>
          <w:szCs w:val="17"/>
          <w:color w:val="010000"/>
        </w:rPr>
      </w:pPr>
    </w:p>
    <w:p>
      <w:pPr>
        <w:ind w:right="20" w:firstLine="1304"/>
        <w:spacing w:after="0" w:line="277" w:lineRule="auto"/>
        <w:tabs>
          <w:tab w:leader="none" w:pos="2296"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 xml:space="preserve">judgment Liens arising solely as a result of the existence of judgments, orders, or awards that do not constitute an Event of Default under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of this Agreement,</w:t>
      </w:r>
    </w:p>
    <w:p>
      <w:pPr>
        <w:spacing w:after="0" w:line="170" w:lineRule="exact"/>
        <w:rPr>
          <w:rFonts w:ascii="Arial" w:cs="Arial" w:eastAsia="Arial" w:hAnsi="Arial"/>
          <w:sz w:val="18"/>
          <w:szCs w:val="18"/>
          <w:color w:val="010000"/>
        </w:rPr>
      </w:pPr>
    </w:p>
    <w:p>
      <w:pPr>
        <w:jc w:val="both"/>
        <w:ind w:right="20" w:firstLine="1304"/>
        <w:spacing w:after="0" w:line="342" w:lineRule="auto"/>
        <w:tabs>
          <w:tab w:leader="none" w:pos="2252" w:val="left"/>
        </w:tabs>
        <w:numPr>
          <w:ilvl w:val="0"/>
          <w:numId w:val="65"/>
        </w:numPr>
        <w:rPr>
          <w:rFonts w:ascii="Arial" w:cs="Arial" w:eastAsia="Arial" w:hAnsi="Arial"/>
          <w:sz w:val="16"/>
          <w:szCs w:val="16"/>
          <w:color w:val="010000"/>
        </w:rPr>
      </w:pPr>
      <w:r>
        <w:rPr>
          <w:rFonts w:ascii="Arial" w:cs="Arial" w:eastAsia="Arial" w:hAnsi="Arial"/>
          <w:sz w:val="16"/>
          <w:szCs w:val="16"/>
          <w:color w:val="auto"/>
        </w:rPr>
        <w:t xml:space="preserve">Liens set forth on </w:t>
      </w:r>
      <w:r>
        <w:rPr>
          <w:rFonts w:ascii="Arial" w:cs="Arial" w:eastAsia="Arial" w:hAnsi="Arial"/>
          <w:sz w:val="16"/>
          <w:szCs w:val="16"/>
          <w:u w:val="single" w:color="auto"/>
          <w:color w:val="auto"/>
        </w:rPr>
        <w:t>Schedule P-2</w:t>
      </w:r>
      <w:r>
        <w:rPr>
          <w:rFonts w:ascii="Arial" w:cs="Arial" w:eastAsia="Arial" w:hAnsi="Arial"/>
          <w:sz w:val="16"/>
          <w:szCs w:val="16"/>
          <w:color w:val="auto"/>
        </w:rPr>
        <w:t xml:space="preserve">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qualify as a Permitted Lien, any such Lien described on </w:t>
      </w:r>
      <w:r>
        <w:rPr>
          <w:rFonts w:ascii="Arial" w:cs="Arial" w:eastAsia="Arial" w:hAnsi="Arial"/>
          <w:sz w:val="16"/>
          <w:szCs w:val="16"/>
          <w:u w:val="single" w:color="auto"/>
          <w:color w:val="auto"/>
        </w:rPr>
        <w:t>Schedule P-2</w:t>
      </w:r>
      <w:r>
        <w:rPr>
          <w:rFonts w:ascii="Arial" w:cs="Arial" w:eastAsia="Arial" w:hAnsi="Arial"/>
          <w:sz w:val="16"/>
          <w:szCs w:val="16"/>
          <w:color w:val="auto"/>
        </w:rPr>
        <w:t xml:space="preserve"> to this Agreement shall only secure the Indebtedness that it secures on the Closing Date and any Refinancing Indebtedness in respect thereof,</w:t>
      </w:r>
    </w:p>
    <w:p>
      <w:pPr>
        <w:spacing w:after="0" w:line="123" w:lineRule="exact"/>
        <w:rPr>
          <w:rFonts w:ascii="Arial" w:cs="Arial" w:eastAsia="Arial" w:hAnsi="Arial"/>
          <w:sz w:val="16"/>
          <w:szCs w:val="16"/>
          <w:color w:val="010000"/>
        </w:rPr>
      </w:pPr>
    </w:p>
    <w:p>
      <w:pPr>
        <w:ind w:firstLine="1304"/>
        <w:spacing w:after="0" w:line="277" w:lineRule="auto"/>
        <w:tabs>
          <w:tab w:leader="none" w:pos="2278"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the interests of lessors and lessees under operating leases and licensors under license agreements (so long as any exclusive license agreements are not materially disruptive to the operations of such Person’s business),</w:t>
      </w:r>
    </w:p>
    <w:p>
      <w:pPr>
        <w:spacing w:after="0" w:line="170" w:lineRule="exact"/>
        <w:rPr>
          <w:rFonts w:ascii="Arial" w:cs="Arial" w:eastAsia="Arial" w:hAnsi="Arial"/>
          <w:sz w:val="18"/>
          <w:szCs w:val="18"/>
          <w:color w:val="010000"/>
        </w:rPr>
      </w:pPr>
    </w:p>
    <w:p>
      <w:pPr>
        <w:jc w:val="both"/>
        <w:ind w:firstLine="1304"/>
        <w:spacing w:after="0" w:line="259" w:lineRule="auto"/>
        <w:tabs>
          <w:tab w:leader="none" w:pos="2524"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purchase money Liens on fixed assets or the interests of lessors under Capital Leases to the extent that such Liens or interests secure Permitted Purchase Money Indebtedness and so long as (i) such Lien attaches only to the fixed asset purchased or acquired and the proceeds thereof, and (ii) such Lien only secures the Indebtedness that was incurred to acquire the fixed asset purchased or acquired or any Refinancing Indebtedness in respect thereof,</w:t>
      </w:r>
    </w:p>
    <w:p>
      <w:pPr>
        <w:spacing w:after="0" w:line="186" w:lineRule="exact"/>
        <w:rPr>
          <w:rFonts w:ascii="Arial" w:cs="Arial" w:eastAsia="Arial" w:hAnsi="Arial"/>
          <w:sz w:val="18"/>
          <w:szCs w:val="18"/>
          <w:color w:val="010000"/>
        </w:rPr>
      </w:pPr>
    </w:p>
    <w:p>
      <w:pPr>
        <w:jc w:val="both"/>
        <w:ind w:firstLine="1304"/>
        <w:spacing w:after="0" w:line="263" w:lineRule="auto"/>
        <w:tabs>
          <w:tab w:leader="none" w:pos="2509"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Liens arising by operation of law in favor of warehousemen, landlords, carriers, mechanics, materialmen, laborers, or suppliers, incurred in the ordinary course of business and not in connection with the borrowing of money, and which Liens either (i) are for sums not yet delinquent, or (ii) are the subject of Permitted Protests,</w:t>
      </w:r>
    </w:p>
    <w:p>
      <w:pPr>
        <w:spacing w:after="0" w:line="183" w:lineRule="exact"/>
        <w:rPr>
          <w:rFonts w:ascii="Arial" w:cs="Arial" w:eastAsia="Arial" w:hAnsi="Arial"/>
          <w:sz w:val="18"/>
          <w:szCs w:val="18"/>
          <w:color w:val="010000"/>
        </w:rPr>
      </w:pPr>
    </w:p>
    <w:p>
      <w:pPr>
        <w:ind w:right="20" w:firstLine="1304"/>
        <w:spacing w:after="0" w:line="277" w:lineRule="auto"/>
        <w:tabs>
          <w:tab w:leader="none" w:pos="2405"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Liens on amounts deposited to secure Parent’s and its Restricted Subsidiaries’ obligations in connection with worker’s compensation or other unemployment insurance,</w:t>
      </w:r>
    </w:p>
    <w:p>
      <w:pPr>
        <w:spacing w:after="0" w:line="170" w:lineRule="exact"/>
        <w:rPr>
          <w:rFonts w:ascii="Arial" w:cs="Arial" w:eastAsia="Arial" w:hAnsi="Arial"/>
          <w:sz w:val="18"/>
          <w:szCs w:val="18"/>
          <w:color w:val="010000"/>
        </w:rPr>
      </w:pPr>
    </w:p>
    <w:p>
      <w:pPr>
        <w:ind w:firstLine="1304"/>
        <w:spacing w:after="0" w:line="277" w:lineRule="auto"/>
        <w:tabs>
          <w:tab w:leader="none" w:pos="2235"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Liens on amounts deposited to secure Parent’s and its Restricted Subsidiaries’ obligations in connection with the making or entering into of bids, tenders, or leases in the ordinary course of business and not in connection with the borrowing of money,</w:t>
      </w:r>
    </w:p>
    <w:p>
      <w:pPr>
        <w:spacing w:after="0" w:line="170" w:lineRule="exact"/>
        <w:rPr>
          <w:rFonts w:ascii="Arial" w:cs="Arial" w:eastAsia="Arial" w:hAnsi="Arial"/>
          <w:sz w:val="18"/>
          <w:szCs w:val="18"/>
          <w:color w:val="010000"/>
        </w:rPr>
      </w:pPr>
    </w:p>
    <w:p>
      <w:pPr>
        <w:ind w:right="20" w:firstLine="1304"/>
        <w:spacing w:after="0" w:line="277" w:lineRule="auto"/>
        <w:tabs>
          <w:tab w:leader="none" w:pos="2392"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Liens on amounts deposited to secure Parent’s and its Restricted Subsidiaries’ reimbursement obligations with respect to surety or appeal bonds obtained in the ordinary course of business,</w:t>
      </w:r>
    </w:p>
    <w:p>
      <w:pPr>
        <w:spacing w:after="0" w:line="170" w:lineRule="exact"/>
        <w:rPr>
          <w:rFonts w:ascii="Arial" w:cs="Arial" w:eastAsia="Arial" w:hAnsi="Arial"/>
          <w:sz w:val="18"/>
          <w:szCs w:val="18"/>
          <w:color w:val="010000"/>
        </w:rPr>
      </w:pPr>
    </w:p>
    <w:p>
      <w:pPr>
        <w:ind w:firstLine="1304"/>
        <w:spacing w:after="0" w:line="277" w:lineRule="auto"/>
        <w:tabs>
          <w:tab w:leader="none" w:pos="2320"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with respect to any Real Property, easements, rights of way, and zoning restrictions that do not materially interfere with or impair the use or operation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ind w:firstLine="1304"/>
        <w:spacing w:after="0" w:line="277" w:lineRule="auto"/>
        <w:tabs>
          <w:tab w:leader="none" w:pos="2284"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licenses of patents, trademarks, copyrights, and other intellectual property rights in the ordinary course of business (so long as any exclusive licenses are not materially disruptive to the operations of such Person’s business),</w:t>
      </w:r>
    </w:p>
    <w:p>
      <w:pPr>
        <w:spacing w:after="0" w:line="170" w:lineRule="exact"/>
        <w:rPr>
          <w:rFonts w:ascii="Arial" w:cs="Arial" w:eastAsia="Arial" w:hAnsi="Arial"/>
          <w:sz w:val="18"/>
          <w:szCs w:val="18"/>
          <w:color w:val="010000"/>
        </w:rPr>
      </w:pPr>
    </w:p>
    <w:p>
      <w:pPr>
        <w:ind w:firstLine="1304"/>
        <w:spacing w:after="0" w:line="308" w:lineRule="auto"/>
        <w:tabs>
          <w:tab w:leader="none" w:pos="2514" w:val="left"/>
        </w:tabs>
        <w:numPr>
          <w:ilvl w:val="0"/>
          <w:numId w:val="66"/>
        </w:numPr>
        <w:rPr>
          <w:rFonts w:ascii="Arial" w:cs="Arial" w:eastAsia="Arial" w:hAnsi="Arial"/>
          <w:sz w:val="17"/>
          <w:szCs w:val="17"/>
          <w:color w:val="010000"/>
        </w:rPr>
      </w:pPr>
      <w:r>
        <w:rPr>
          <w:rFonts w:ascii="Arial" w:cs="Arial" w:eastAsia="Arial" w:hAnsi="Arial"/>
          <w:sz w:val="17"/>
          <w:szCs w:val="17"/>
          <w:color w:val="auto"/>
        </w:rPr>
        <w:t>Liens that are replacements of Permitted Liens to the extent that the original Indebtedness is the subject of permitted Refinancing Indebtedness and so long as the replacement Liens only encumber those assets that secured the original Indebtedness,</w:t>
      </w:r>
    </w:p>
    <w:p>
      <w:pPr>
        <w:spacing w:after="0" w:line="146" w:lineRule="exact"/>
        <w:rPr>
          <w:rFonts w:ascii="Arial" w:cs="Arial" w:eastAsia="Arial" w:hAnsi="Arial"/>
          <w:sz w:val="17"/>
          <w:szCs w:val="17"/>
          <w:color w:val="010000"/>
        </w:rPr>
      </w:pPr>
    </w:p>
    <w:p>
      <w:pPr>
        <w:ind w:firstLine="1304"/>
        <w:spacing w:after="0" w:line="277" w:lineRule="auto"/>
        <w:tabs>
          <w:tab w:leader="none" w:pos="2207"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rights of setoff or bankers’ liens upon deposits of funds in favor of banks or other depository institutions, solely to the extent incurred in connection with the maintenance of such Deposit Accounts in the ordinary course of business,</w:t>
      </w:r>
    </w:p>
    <w:p>
      <w:pPr>
        <w:spacing w:after="0" w:line="170" w:lineRule="exact"/>
        <w:rPr>
          <w:rFonts w:ascii="Arial" w:cs="Arial" w:eastAsia="Arial" w:hAnsi="Arial"/>
          <w:sz w:val="18"/>
          <w:szCs w:val="18"/>
          <w:color w:val="010000"/>
        </w:rPr>
      </w:pPr>
    </w:p>
    <w:p>
      <w:pPr>
        <w:ind w:right="20" w:firstLine="1304"/>
        <w:spacing w:after="0" w:line="277" w:lineRule="auto"/>
        <w:tabs>
          <w:tab w:leader="none" w:pos="2315"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70" w:lineRule="exact"/>
        <w:rPr>
          <w:rFonts w:ascii="Arial" w:cs="Arial" w:eastAsia="Arial" w:hAnsi="Arial"/>
          <w:sz w:val="18"/>
          <w:szCs w:val="18"/>
          <w:color w:val="010000"/>
        </w:rPr>
      </w:pPr>
    </w:p>
    <w:p>
      <w:pPr>
        <w:ind w:right="20" w:firstLine="1304"/>
        <w:spacing w:after="0" w:line="277" w:lineRule="auto"/>
        <w:tabs>
          <w:tab w:leader="none" w:pos="2549"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010000"/>
        </w:rPr>
      </w:pPr>
    </w:p>
    <w:p>
      <w:pPr>
        <w:ind w:firstLine="1304"/>
        <w:spacing w:after="0" w:line="277" w:lineRule="auto"/>
        <w:tabs>
          <w:tab w:leader="none" w:pos="2333"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Liens solely on any cash earnest money deposits made by a Loan Party or any of its Restricted Subsidiaries in connection with any letter of intent or purchase agreement with respect to a Permitted Acquisition or other Permitted Investment,</w:t>
      </w:r>
    </w:p>
    <w:p>
      <w:pPr>
        <w:spacing w:after="0" w:line="170" w:lineRule="exact"/>
        <w:rPr>
          <w:rFonts w:ascii="Arial" w:cs="Arial" w:eastAsia="Arial" w:hAnsi="Arial"/>
          <w:sz w:val="18"/>
          <w:szCs w:val="18"/>
          <w:color w:val="010000"/>
        </w:rPr>
      </w:pPr>
    </w:p>
    <w:p>
      <w:pPr>
        <w:jc w:val="both"/>
        <w:ind w:firstLine="1304"/>
        <w:spacing w:after="0" w:line="263" w:lineRule="auto"/>
        <w:tabs>
          <w:tab w:leader="none" w:pos="2344"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Liens (i) assumed by any Loan Party or its Restricted Subsidiaries in connection with a Permitted Acquisition that secure Acquired Indebtedness that is Permitted Indebtedness and (ii) securing Indebtedness permitted under clauses (f) and (p) of the definition of Permitted Indebtedness so long as, with respect to this subclause (ii), such Liens are junior in priority to Agent’s Lien,</w:t>
      </w:r>
    </w:p>
    <w:p>
      <w:pPr>
        <w:spacing w:after="0" w:line="183" w:lineRule="exact"/>
        <w:rPr>
          <w:rFonts w:ascii="Arial" w:cs="Arial" w:eastAsia="Arial" w:hAnsi="Arial"/>
          <w:sz w:val="18"/>
          <w:szCs w:val="18"/>
          <w:color w:val="010000"/>
        </w:rPr>
      </w:pPr>
    </w:p>
    <w:p>
      <w:pPr>
        <w:ind w:left="2260" w:hanging="956"/>
        <w:spacing w:after="0"/>
        <w:tabs>
          <w:tab w:leader="none" w:pos="226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Liens on Specified Collateral securing Permitted Additional Secured Indebtedness, and</w:t>
      </w:r>
    </w:p>
    <w:p>
      <w:pPr>
        <w:spacing w:after="0" w:line="225" w:lineRule="exact"/>
        <w:rPr>
          <w:rFonts w:ascii="Arial" w:cs="Arial" w:eastAsia="Arial" w:hAnsi="Arial"/>
          <w:sz w:val="18"/>
          <w:szCs w:val="18"/>
          <w:color w:val="010000"/>
        </w:rPr>
      </w:pPr>
    </w:p>
    <w:p>
      <w:pPr>
        <w:ind w:firstLine="1304"/>
        <w:spacing w:after="0" w:line="277" w:lineRule="auto"/>
        <w:tabs>
          <w:tab w:leader="none" w:pos="2226"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Liens which do not secure Indebtedness for borrowed money or letters of credit and as to which the aggregate amount of the obligations secured thereby does not exceed $1,200,000.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Protest</w:t>
      </w:r>
      <w:r>
        <w:rPr>
          <w:rFonts w:ascii="Arial" w:cs="Arial" w:eastAsia="Arial" w:hAnsi="Arial"/>
          <w:sz w:val="18"/>
          <w:szCs w:val="18"/>
          <w:color w:val="auto"/>
        </w:rPr>
        <w:t xml:space="preserve">” means the right of any Loan Party or any of its Subsidiaries to protest any Lien (other than any Lien that secures the Obligations), Taxes or rental payment; </w:t>
      </w:r>
      <w:r>
        <w:rPr>
          <w:rFonts w:ascii="Arial" w:cs="Arial" w:eastAsia="Arial" w:hAnsi="Arial"/>
          <w:sz w:val="18"/>
          <w:szCs w:val="18"/>
          <w:u w:val="single" w:color="auto"/>
          <w:color w:val="auto"/>
        </w:rPr>
        <w:t>provided</w:t>
      </w:r>
      <w:r>
        <w:rPr>
          <w:rFonts w:ascii="Arial" w:cs="Arial" w:eastAsia="Arial" w:hAnsi="Arial"/>
          <w:sz w:val="18"/>
          <w:szCs w:val="18"/>
          <w:color w:val="auto"/>
        </w:rPr>
        <w:t>, that (a) a reserve with respect to such obligation is established on such Loan Party’s or its Subsidiaries’ books and records in such amount as is required under GAAP, (b) any such protest is instituted promptly and prosecuted diligently by such Loan Party or its Subsidiary, as applicable, in good faith, and (c) Agent is satisfied that, while any such protest is pending, there will be no impairment of the enforceability, validity, or priority of any of Agent’s Liens.</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Purchase Money Indebtedness</w:t>
      </w:r>
      <w:r>
        <w:rPr>
          <w:rFonts w:ascii="Arial" w:cs="Arial" w:eastAsia="Arial" w:hAnsi="Arial"/>
          <w:sz w:val="16"/>
          <w:szCs w:val="16"/>
          <w:color w:val="auto"/>
        </w:rPr>
        <w:t>” means, as of any date of determination, Indebtedness (other than the Obligations, but including Capitalized Lease Obligations), incurred after the Closing Date and at the time of, or within 20 days after, the acquisition of any fixed assets for the purpose of financing all or any part of the acquisition cost thereof, in an aggregate principal amount outstanding at any one time not in excess of $10,000,000.</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at any time, an “</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as defined in Section 3(3) of ERISA, that any Borrower or ERISA Affiliate maintains, contributes to or has an obligation to contribute to on behalf of participants who are or were employed by any Borrower.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17.9(c)</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Pre-Approved Jurisdiction</w:t>
      </w:r>
      <w:r>
        <w:rPr>
          <w:rFonts w:ascii="Arial" w:cs="Arial" w:eastAsia="Arial" w:hAnsi="Arial"/>
          <w:sz w:val="18"/>
          <w:szCs w:val="18"/>
          <w:color w:val="auto"/>
        </w:rPr>
        <w:t>” means each of Australia, Austria, Belgium, Canada, Cyprus, Denmark, Finland, France, Germany, Ireland, Italy, Luxembourg, Mexico, Netherlands, New Zealand, Poland, Portugal, Singapore, Spain, Sweden, the United Kingdom and the United States, as such list may be updated from time to time by Agent in its Permitted Discretion.</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Projections</w:t>
      </w:r>
      <w:r>
        <w:rPr>
          <w:rFonts w:ascii="Arial" w:cs="Arial" w:eastAsia="Arial" w:hAnsi="Arial"/>
          <w:sz w:val="17"/>
          <w:szCs w:val="17"/>
          <w:color w:val="auto"/>
        </w:rPr>
        <w:t>” means Parent’s forecasted (a) balance sheets, (b) profit and loss statements, and (c) cash flow statements, all prepared on a basis consistent with Parent’s historical financial statements, together with appropriate supporting details and a statement of underlying assumptions.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as of any date of determination:</w:t>
      </w:r>
    </w:p>
    <w:p>
      <w:pPr>
        <w:spacing w:after="0" w:line="225" w:lineRule="exact"/>
        <w:rPr>
          <w:sz w:val="20"/>
          <w:szCs w:val="20"/>
          <w:color w:val="auto"/>
        </w:rPr>
      </w:pPr>
    </w:p>
    <w:p>
      <w:pPr>
        <w:jc w:val="both"/>
        <w:ind w:firstLine="1304"/>
        <w:spacing w:after="0" w:line="259" w:lineRule="auto"/>
        <w:tabs>
          <w:tab w:leader="none" w:pos="2206"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with respect to a Lender’s obligation to make all or a portion of the Revolving Loans, with respect to such Lender’s right to receive payments of interest, fees, and principal with respect to the Revolving Loans, and with respect to all other computations and other matters related to the Revolver Commitments or the Revolving Loans, the percentage obtained by dividing (i) the Revolving Loan Exposure of such Lender, by (ii) the aggregate Revolving Loan Exposure of all Lenders,</w:t>
      </w:r>
    </w:p>
    <w:p>
      <w:pPr>
        <w:spacing w:after="0" w:line="186" w:lineRule="exact"/>
        <w:rPr>
          <w:rFonts w:ascii="Arial" w:cs="Arial" w:eastAsia="Arial" w:hAnsi="Arial"/>
          <w:sz w:val="18"/>
          <w:szCs w:val="18"/>
          <w:color w:val="010000"/>
        </w:rPr>
      </w:pPr>
    </w:p>
    <w:p>
      <w:pPr>
        <w:jc w:val="both"/>
        <w:ind w:firstLine="1304"/>
        <w:spacing w:after="0" w:line="273" w:lineRule="auto"/>
        <w:tabs>
          <w:tab w:leader="none" w:pos="2455" w:val="left"/>
        </w:tabs>
        <w:numPr>
          <w:ilvl w:val="0"/>
          <w:numId w:val="67"/>
        </w:numPr>
        <w:rPr>
          <w:rFonts w:ascii="Arial" w:cs="Arial" w:eastAsia="Arial" w:hAnsi="Arial"/>
          <w:sz w:val="17"/>
          <w:szCs w:val="17"/>
          <w:color w:val="010000"/>
        </w:rPr>
      </w:pPr>
      <w:r>
        <w:rPr>
          <w:rFonts w:ascii="Arial" w:cs="Arial" w:eastAsia="Arial" w:hAnsi="Arial"/>
          <w:sz w:val="17"/>
          <w:szCs w:val="17"/>
          <w:color w:val="auto"/>
        </w:rPr>
        <w:t xml:space="preserve">with respect to a Lender’s obligation to participate in the Letters of Credit, with respect to such Lender’s obligation to reimburse Issuing Bank, and with respect to such Lender’s right to receive payments of Letter of Credit Fees, and with respect to all other computations and other matters related to the Letters of Credit, the percentage obtained by dividing (i) the Revolving Loan Exposure of such Lender, by (ii) the aggregate Revolving Loan Exposure of all Lenders; </w:t>
      </w:r>
      <w:r>
        <w:rPr>
          <w:rFonts w:ascii="Arial" w:cs="Arial" w:eastAsia="Arial" w:hAnsi="Arial"/>
          <w:sz w:val="17"/>
          <w:szCs w:val="17"/>
          <w:u w:val="single" w:color="auto"/>
          <w:color w:val="auto"/>
        </w:rPr>
        <w:t>provided</w:t>
      </w:r>
      <w:r>
        <w:rPr>
          <w:rFonts w:ascii="Arial" w:cs="Arial" w:eastAsia="Arial" w:hAnsi="Arial"/>
          <w:sz w:val="17"/>
          <w:szCs w:val="17"/>
          <w:color w:val="auto"/>
        </w:rPr>
        <w:t>, that if all of the Revolving Loans have been repaid in full and all Revolver Commitments have been terminated, but Letters of Credit remain outstanding, Pro Rata Share under this clause shall be the percentage obtained by dividing (A) the Letter of Credit Exposure of such Lender, by (B) the Letter of Credit Exposure of all Lenders,</w:t>
      </w:r>
    </w:p>
    <w:p>
      <w:pPr>
        <w:spacing w:after="0" w:line="177" w:lineRule="exact"/>
        <w:rPr>
          <w:rFonts w:ascii="Arial" w:cs="Arial" w:eastAsia="Arial" w:hAnsi="Arial"/>
          <w:sz w:val="17"/>
          <w:szCs w:val="17"/>
          <w:color w:val="010000"/>
        </w:rPr>
      </w:pPr>
    </w:p>
    <w:p>
      <w:pPr>
        <w:ind w:left="2220" w:hanging="916"/>
        <w:spacing w:after="0"/>
        <w:tabs>
          <w:tab w:leader="none" w:pos="2220"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010000"/>
        </w:rPr>
      </w:pPr>
    </w:p>
    <w:p>
      <w:pPr>
        <w:jc w:val="both"/>
        <w:ind w:firstLine="1304"/>
        <w:spacing w:after="0" w:line="296" w:lineRule="auto"/>
        <w:tabs>
          <w:tab w:leader="none" w:pos="2234" w:val="left"/>
        </w:tabs>
        <w:numPr>
          <w:ilvl w:val="0"/>
          <w:numId w:val="67"/>
        </w:numPr>
        <w:rPr>
          <w:rFonts w:ascii="Arial" w:cs="Arial" w:eastAsia="Arial" w:hAnsi="Arial"/>
          <w:sz w:val="16"/>
          <w:szCs w:val="16"/>
          <w:color w:val="010000"/>
        </w:rPr>
      </w:pPr>
      <w:r>
        <w:rPr>
          <w:rFonts w:ascii="Arial" w:cs="Arial" w:eastAsia="Arial" w:hAnsi="Arial"/>
          <w:sz w:val="16"/>
          <w:szCs w:val="16"/>
          <w:color w:val="auto"/>
        </w:rPr>
        <w:t xml:space="preserve">with respect to all other matters and for all other matters as to a particular Lender (including the indemnification obligations arising under </w:t>
      </w:r>
      <w:r>
        <w:rPr>
          <w:rFonts w:ascii="Arial" w:cs="Arial" w:eastAsia="Arial" w:hAnsi="Arial"/>
          <w:sz w:val="16"/>
          <w:szCs w:val="16"/>
          <w:u w:val="single" w:color="auto"/>
          <w:color w:val="auto"/>
        </w:rPr>
        <w:t>Section 15.7</w:t>
      </w:r>
      <w:r>
        <w:rPr>
          <w:rFonts w:ascii="Arial" w:cs="Arial" w:eastAsia="Arial" w:hAnsi="Arial"/>
          <w:sz w:val="16"/>
          <w:szCs w:val="16"/>
          <w:color w:val="auto"/>
        </w:rPr>
        <w:t xml:space="preserve"> of this Agreement), the percentage obtained by dividing (i) the Revolving Loan Exposure of such Lender, by (ii) the aggregate Revolving Loan Exposure of all Lenders, in any such case as the applicable percentage may be adjusted by assignments permitted pursuant to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if all of the Loans have been repaid in full and all Commitments have been terminated, Pro Rata Share under this clause shall be the percentage obtained by dividing (A) the Letter of Credit Exposure of such Lender, by (B) the Letter of Credit Exposure of all Lenders.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Protective Advances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2.3(d)(i)</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Protocol</w:t>
      </w:r>
      <w:r>
        <w:rPr>
          <w:rFonts w:ascii="Arial" w:cs="Arial" w:eastAsia="Arial" w:hAnsi="Arial"/>
          <w:sz w:val="18"/>
          <w:szCs w:val="18"/>
          <w:color w:val="auto"/>
        </w:rPr>
        <w:t>” means the Protocol to the Convention on International Interests in Mobile Equipment on Matters Specific to Aircraft Equipment, concluded in Cape Town, South Africa, on November 16, 2001 (utilizing the English-language version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17.9(c)</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with respect to any Acquisition, an amount equal to the aggregate consideration, whether cash, property or securities (including the fair market value of any Equity Interests of Parent issued in connection with such Acquisition and including the maximum amount of Earn-Outs), paid or delivered by a Loan Party or one of its Subsidiaries in connection with such Acquisition (whether paid at the closing thereof or payable thereafter and whether fixed or contingent), but excluding therefrom (a) any cash of the seller and its Affiliates used to fund any portion of such consideration, and (b) any cash or Cash Equivalents acquired in connection with such Acquisition.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and refers to any Equity Interests issued by Parent (and not by one or more of its Subsidiaries) that is not a Disqualified Equity 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“Qualified Plan</w:t>
      </w:r>
      <w:r>
        <w:rPr>
          <w:rFonts w:ascii="Arial" w:cs="Arial" w:eastAsia="Arial" w:hAnsi="Arial"/>
          <w:sz w:val="18"/>
          <w:szCs w:val="18"/>
          <w:color w:val="auto"/>
        </w:rPr>
        <w:t>” means a Pension Plan that is intended to be tax-qualified under Section 401(a) of the IRC.</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IPO</w:t>
      </w:r>
      <w:r>
        <w:rPr>
          <w:rFonts w:ascii="Arial" w:cs="Arial" w:eastAsia="Arial" w:hAnsi="Arial"/>
          <w:sz w:val="18"/>
          <w:szCs w:val="18"/>
          <w:color w:val="auto"/>
        </w:rPr>
        <w:t>” means the issuance by Parent of its common Equity Interests in an underwritten primary public offering (other than a public offering pursuant to a registration statement on Form S-8) pursuant to an effective registration statement filed with the SEC in accordance with the Securities Act.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any estates or interests in real property now owned or hereafter acquired by any Loan Party or one of its Subsidiaries and the improvements thereto.</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Collateral</w:t>
      </w:r>
      <w:r>
        <w:rPr>
          <w:rFonts w:ascii="Arial" w:cs="Arial" w:eastAsia="Arial" w:hAnsi="Arial"/>
          <w:sz w:val="18"/>
          <w:szCs w:val="18"/>
          <w:color w:val="auto"/>
        </w:rPr>
        <w:t xml:space="preserve">” means (a) the Real Property identified on </w:t>
      </w:r>
      <w:r>
        <w:rPr>
          <w:rFonts w:ascii="Arial" w:cs="Arial" w:eastAsia="Arial" w:hAnsi="Arial"/>
          <w:sz w:val="18"/>
          <w:szCs w:val="18"/>
          <w:u w:val="single" w:color="auto"/>
          <w:color w:val="auto"/>
        </w:rPr>
        <w:t>Schedule R-1</w:t>
      </w:r>
      <w:r>
        <w:rPr>
          <w:rFonts w:ascii="Arial" w:cs="Arial" w:eastAsia="Arial" w:hAnsi="Arial"/>
          <w:sz w:val="18"/>
          <w:szCs w:val="18"/>
          <w:color w:val="auto"/>
        </w:rPr>
        <w:t xml:space="preserve"> to this Agreement, and (b) any Real Property hereafter acquired by any Loan Party or one of its Subsidiaries with a fair market value in excess of $10,000,000.</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 Reserves</w:t>
      </w:r>
      <w:r>
        <w:rPr>
          <w:rFonts w:ascii="Arial" w:cs="Arial" w:eastAsia="Arial" w:hAnsi="Arial"/>
          <w:sz w:val="18"/>
          <w:szCs w:val="18"/>
          <w:color w:val="auto"/>
        </w:rPr>
        <w:t xml:space="preserve">” means, as of any date of determination, those reserves that Agent deems necessary or appropriate, in its Permitted Discretion and subject to </w:t>
      </w:r>
      <w:r>
        <w:rPr>
          <w:rFonts w:ascii="Arial" w:cs="Arial" w:eastAsia="Arial" w:hAnsi="Arial"/>
          <w:sz w:val="18"/>
          <w:szCs w:val="18"/>
          <w:u w:val="single" w:color="auto"/>
          <w:color w:val="auto"/>
        </w:rPr>
        <w:t>Section 2.1(c)</w:t>
      </w:r>
      <w:r>
        <w:rPr>
          <w:rFonts w:ascii="Arial" w:cs="Arial" w:eastAsia="Arial" w:hAnsi="Arial"/>
          <w:sz w:val="18"/>
          <w:szCs w:val="18"/>
          <w:color w:val="auto"/>
        </w:rPr>
        <w:t>, to establish and maintain (including Landlord Reserves for books and records locations and reserves for rebates, discounts, warranty claims, and returns) with respect to the Eligible Accounts or the Maximum Revolver Amount.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w:t>
      </w:r>
      <w:r>
        <w:rPr>
          <w:rFonts w:ascii="Arial" w:cs="Arial" w:eastAsia="Arial" w:hAnsi="Arial"/>
          <w:sz w:val="18"/>
          <w:szCs w:val="18"/>
          <w:color w:val="auto"/>
        </w:rPr>
        <w:t>” means information that is inscribed on a tangible medium or that is stored in an electronic or other medium and is retrievable in perceivable 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Period</w:t>
      </w:r>
      <w:r>
        <w:rPr>
          <w:rFonts w:ascii="Arial" w:cs="Arial" w:eastAsia="Arial" w:hAnsi="Arial"/>
          <w:sz w:val="18"/>
          <w:szCs w:val="18"/>
          <w:color w:val="auto"/>
        </w:rPr>
        <w:t>” has the meaning set forth in the definition of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means refinancings, renewals, or extensions of Indebtedness so long as:</w:t>
      </w:r>
    </w:p>
    <w:p>
      <w:pPr>
        <w:spacing w:after="0" w:line="225" w:lineRule="exact"/>
        <w:rPr>
          <w:sz w:val="20"/>
          <w:szCs w:val="20"/>
          <w:color w:val="auto"/>
        </w:rPr>
      </w:pPr>
    </w:p>
    <w:p>
      <w:pPr>
        <w:jc w:val="both"/>
        <w:ind w:firstLine="1304"/>
        <w:spacing w:after="0" w:line="263" w:lineRule="auto"/>
        <w:tabs>
          <w:tab w:leader="none" w:pos="2512"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such refinancings, renewals, or extensions do not result in an increase in the principal amount of the Indebtedness so refinanced, renewed, or extended, other than by the amount of premiums paid thereon and the fees and expenses incurred in connection therewith and by the amount of unfunded commitments with respect thereto,</w:t>
      </w:r>
    </w:p>
    <w:p>
      <w:pPr>
        <w:spacing w:after="0" w:line="183" w:lineRule="exact"/>
        <w:rPr>
          <w:rFonts w:ascii="Arial" w:cs="Arial" w:eastAsia="Arial" w:hAnsi="Arial"/>
          <w:sz w:val="18"/>
          <w:szCs w:val="18"/>
          <w:color w:val="010000"/>
        </w:rPr>
      </w:pPr>
    </w:p>
    <w:p>
      <w:pPr>
        <w:jc w:val="both"/>
        <w:ind w:firstLine="1304"/>
        <w:spacing w:after="0" w:line="286" w:lineRule="auto"/>
        <w:tabs>
          <w:tab w:leader="none" w:pos="2275"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such refinancings, renewals, or extensions do not result in a shortening of the final stated maturity or the average weighted maturity (measured as of the refinancing, renewal, or extension) of the Indebtedness so refinanced, renewed, or extended, nor are they on terms or conditions that, taken as a whole, are or could reasonably be expected to be materially adverse to the interests of the Lenders,</w:t>
      </w:r>
    </w:p>
    <w:p>
      <w:pPr>
        <w:spacing w:after="0" w:line="165" w:lineRule="exact"/>
        <w:rPr>
          <w:rFonts w:ascii="Arial" w:cs="Arial" w:eastAsia="Arial" w:hAnsi="Arial"/>
          <w:sz w:val="17"/>
          <w:szCs w:val="17"/>
          <w:color w:val="010000"/>
        </w:rPr>
      </w:pPr>
    </w:p>
    <w:p>
      <w:pPr>
        <w:jc w:val="both"/>
        <w:ind w:right="20" w:firstLine="1304"/>
        <w:spacing w:after="0" w:line="263" w:lineRule="auto"/>
        <w:tabs>
          <w:tab w:leader="none" w:pos="2215"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if the Indebtedness that is refinanced, renewed, or extended was subordinated in right of payment to the Obligations, then the terms and conditions of the refinancing, renewal, or extension must include subordination terms and conditions that are at least as favorable to the Lender Group as those that were applicable to the refinanced, renewed, or extended Indebtedness,</w:t>
      </w:r>
    </w:p>
    <w:p>
      <w:pPr>
        <w:spacing w:after="0" w:line="183" w:lineRule="exact"/>
        <w:rPr>
          <w:rFonts w:ascii="Arial" w:cs="Arial" w:eastAsia="Arial" w:hAnsi="Arial"/>
          <w:sz w:val="18"/>
          <w:szCs w:val="18"/>
          <w:color w:val="010000"/>
        </w:rPr>
      </w:pPr>
    </w:p>
    <w:p>
      <w:pPr>
        <w:ind w:firstLine="1304"/>
        <w:spacing w:after="0" w:line="308" w:lineRule="auto"/>
        <w:tabs>
          <w:tab w:leader="none" w:pos="2423"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the Indebtedness that is refinanced, renewed, or extended is not recourse to any Person that is liable on account of the Obligations other than those Persons which were obligated with respect to the Indebtedness that was refinanced, renewed, or extended,</w:t>
      </w:r>
    </w:p>
    <w:p>
      <w:pPr>
        <w:spacing w:after="0" w:line="146" w:lineRule="exact"/>
        <w:rPr>
          <w:rFonts w:ascii="Arial" w:cs="Arial" w:eastAsia="Arial" w:hAnsi="Arial"/>
          <w:sz w:val="17"/>
          <w:szCs w:val="17"/>
          <w:color w:val="010000"/>
        </w:rPr>
      </w:pPr>
    </w:p>
    <w:p>
      <w:pPr>
        <w:ind w:left="2280" w:hanging="976"/>
        <w:spacing w:after="0"/>
        <w:tabs>
          <w:tab w:leader="none" w:pos="2280" w:val="left"/>
        </w:tabs>
        <w:numPr>
          <w:ilvl w:val="0"/>
          <w:numId w:val="68"/>
        </w:numPr>
        <w:rPr>
          <w:rFonts w:ascii="Arial" w:cs="Arial" w:eastAsia="Arial" w:hAnsi="Arial"/>
          <w:sz w:val="16"/>
          <w:szCs w:val="16"/>
          <w:color w:val="010000"/>
        </w:rPr>
      </w:pPr>
      <w:r>
        <w:rPr>
          <w:rFonts w:ascii="Arial" w:cs="Arial" w:eastAsia="Arial" w:hAnsi="Arial"/>
          <w:sz w:val="16"/>
          <w:szCs w:val="16"/>
          <w:color w:val="auto"/>
        </w:rPr>
        <w:t>if the Indebtedness that is refinanced, renewed or extended was unsecured, such refinancing, renewal or extension shall be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unsecured, and</w:t>
      </w:r>
    </w:p>
    <w:p>
      <w:pPr>
        <w:spacing w:after="0" w:line="210" w:lineRule="exact"/>
        <w:rPr>
          <w:rFonts w:ascii="Arial" w:cs="Arial" w:eastAsia="Arial" w:hAnsi="Arial"/>
          <w:sz w:val="16"/>
          <w:szCs w:val="16"/>
          <w:color w:val="010000"/>
        </w:rPr>
      </w:pPr>
    </w:p>
    <w:p>
      <w:pPr>
        <w:jc w:val="both"/>
        <w:ind w:firstLine="1304"/>
        <w:spacing w:after="0" w:line="259" w:lineRule="auto"/>
        <w:tabs>
          <w:tab w:leader="none" w:pos="2263"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if the Indebtedness that is refinanced, renewed, or extended was secured (i) such refinancing, renewal, or extension shall be secured by substantially the same or less collateral as secured such refinanced, renewed or extended Indebtedness on terms no less favorable to Agent or the Lender Group and (ii) the Liens securing such refinancing, renewal or extension shall not have a priority more senior than the Liens securing such Indebtedness that is refinanced, renewed or extended.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13.1(h)</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13.1(h)</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and that is administered, advised or managed by (a) a Lender, (b) an Affiliate of a Lender, or (c) an entity or an Affiliate of an entity that administers, advises or manages a Lender.</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Remedial Action</w:t>
      </w:r>
      <w:r>
        <w:rPr>
          <w:rFonts w:ascii="Arial" w:cs="Arial" w:eastAsia="Arial" w:hAnsi="Arial"/>
          <w:sz w:val="17"/>
          <w:szCs w:val="17"/>
          <w:color w:val="auto"/>
        </w:rPr>
        <w:t>” means all actions taken to (a) clean up, remove, remediate, contain, treat, monitor, assess, evaluate, or in any way address Hazardous Materials in the indoor or outdoor environment, (b) prevent or minimize a release or threatened release of Hazardous Materials so they do not migrate or endanger or threaten to endanger public health or welfare or the indoor or outdoor environment, (c) restore or reclaim natural resources or the environment, (d) perform any pre-remedial studies, investigations, or post-remedial operation and maintenance activities, or (e) conduct any other actions with respect to Hazardous Materials required by Environmental Laws.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15.16</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Availability</w:t>
      </w:r>
      <w:r>
        <w:rPr>
          <w:rFonts w:ascii="Arial" w:cs="Arial" w:eastAsia="Arial" w:hAnsi="Arial"/>
          <w:sz w:val="18"/>
          <w:szCs w:val="18"/>
          <w:color w:val="auto"/>
        </w:rPr>
        <w:t>” means that the Excess Availability exceeds $50,000,000.</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at any time, Lenders having or holding more than 50% of the sum of the aggregate Revolving Loan Exposure of all Lenders; </w:t>
      </w:r>
      <w:r>
        <w:rPr>
          <w:rFonts w:ascii="Arial" w:cs="Arial" w:eastAsia="Arial" w:hAnsi="Arial"/>
          <w:sz w:val="17"/>
          <w:szCs w:val="17"/>
          <w:u w:val="single" w:color="auto"/>
          <w:color w:val="auto"/>
        </w:rPr>
        <w:t>provided</w:t>
      </w:r>
      <w:r>
        <w:rPr>
          <w:rFonts w:ascii="Arial" w:cs="Arial" w:eastAsia="Arial" w:hAnsi="Arial"/>
          <w:sz w:val="17"/>
          <w:szCs w:val="17"/>
          <w:color w:val="auto"/>
        </w:rPr>
        <w:t>, that the Revolving Loan Exposure of any Defaulting Lender shall be disregarded in the determination of the Required Lenders.</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Reserves</w:t>
      </w:r>
      <w:r>
        <w:rPr>
          <w:rFonts w:ascii="Arial" w:cs="Arial" w:eastAsia="Arial" w:hAnsi="Arial"/>
          <w:sz w:val="17"/>
          <w:szCs w:val="17"/>
          <w:color w:val="auto"/>
        </w:rPr>
        <w:t xml:space="preserve">” means, as of any date of determination, Receivables Reserves, Aircraft Reserves, Engine Reserves, Parts Reserves, Bank Product Reserves and those other reserves that Agent deems necessary or appropriate, in its Permitted Discretion and subject to </w:t>
      </w:r>
      <w:r>
        <w:rPr>
          <w:rFonts w:ascii="Arial" w:cs="Arial" w:eastAsia="Arial" w:hAnsi="Arial"/>
          <w:sz w:val="17"/>
          <w:szCs w:val="17"/>
          <w:u w:val="single" w:color="auto"/>
          <w:color w:val="auto"/>
        </w:rPr>
        <w:t>Section 2.1(c)</w:t>
      </w:r>
      <w:r>
        <w:rPr>
          <w:rFonts w:ascii="Arial" w:cs="Arial" w:eastAsia="Arial" w:hAnsi="Arial"/>
          <w:sz w:val="17"/>
          <w:szCs w:val="17"/>
          <w:color w:val="auto"/>
        </w:rPr>
        <w:t>, to establish and maintain (including reserves with respect to (a) sums that any Loan Party or its Subsidiaries are required to pay under any Section of this Agreement or any other Loan Document (such as Taxes, assessments, insurance premiums, or, in the case of leased assets, rents or other amounts payable under such leases) and has failed to pay, and (b) amounts owing by any Loan Party or its Subsidiaries to any Person to the extent secured by a Lien on, or trust over, any of the Collateral (other than a Permitted Lien), which Lien or trust, in the Permitted Discretion of Agent likely would have a priority superior to Agent’s Liens (such as Liens or trusts in favor of landlords, warehousemen, carriers, mechanics, materialmen, laborers, or suppliers, or Liens or trusts for ad valorem, excise, sales, or other taxes where given priority under applicable law) in and to such item of the Collateral) with respect to the Borrowing Base or the Maximum Revolver Amount.</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 any declaration or payment of any dividend or the making of any other payment or distribution, directly or indirectly, on account of Equity Interests issued by Parent or any of its Subsidiaries (including any payment in connection with any merger or consolidation involving Parent) or to the direct or indirect holders of Equity Interests issued by Parent or any of its Subsidiaries in their capacity as such (other than dividends or distributions payable in Qualified Equity Interests issued by Parent or any of its Subsidiaries, or (b) any purchase, redemption, making of any sinking fund or similar payment, or other acquisition or retirement for value (including in connection with any merger or consolidation involving Parent) any Equity Interests issued by Parent or any of its Subsidiaries, or (c) any making of any payment to retire, or to obtain the surrender of, any outstanding warrants, options, or other rights to acquire Equity Interests of Parent now or hereafter outstanding. The amount of any Restricted Payment made with assets or property that is not cash shall be the fair market value thereof.</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a Borrower other than an Unrestricted Subsidiary.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Commitment</w:t>
      </w:r>
      <w:r>
        <w:rPr>
          <w:rFonts w:ascii="Arial" w:cs="Arial" w:eastAsia="Arial" w:hAnsi="Arial"/>
          <w:sz w:val="18"/>
          <w:szCs w:val="18"/>
          <w:color w:val="auto"/>
        </w:rPr>
        <w:t xml:space="preserve">” means, with respect to each Revolving Lender, its Revolver Commitment, and, with respect to all Revolving Lenders, their Revolver Commitments, in each case as such Dollar amounts are set forth beside such Revolving Lender’s name under the applicable heading on </w:t>
      </w:r>
      <w:r>
        <w:rPr>
          <w:rFonts w:ascii="Arial" w:cs="Arial" w:eastAsia="Arial" w:hAnsi="Arial"/>
          <w:sz w:val="18"/>
          <w:szCs w:val="18"/>
          <w:u w:val="single" w:color="auto"/>
          <w:color w:val="auto"/>
        </w:rPr>
        <w:t>Schedule C-1</w:t>
      </w:r>
      <w:r>
        <w:rPr>
          <w:rFonts w:ascii="Arial" w:cs="Arial" w:eastAsia="Arial" w:hAnsi="Arial"/>
          <w:sz w:val="18"/>
          <w:szCs w:val="18"/>
          <w:color w:val="auto"/>
        </w:rPr>
        <w:t xml:space="preserve"> to this Agreement or in the Assignment and Acceptance pursuant to which such Revolving Lender became a Revolving Lender under this Agreement, as such amounts may be reduced or increased from time to time pursuant to assignments made in accordance with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13.1</w:t>
      </w:r>
      <w:r>
        <w:rPr>
          <w:rFonts w:ascii="Arial" w:cs="Arial" w:eastAsia="Arial" w:hAnsi="Arial"/>
          <w:sz w:val="18"/>
          <w:szCs w:val="18"/>
          <w:color w:val="auto"/>
        </w:rPr>
        <w:t xml:space="preserve"> of this Agreement, and as such amounts may be decreased by the amount of reductions in the Revolver Commitments made in accordance with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Usage</w:t>
      </w:r>
      <w:r>
        <w:rPr>
          <w:rFonts w:ascii="Arial" w:cs="Arial" w:eastAsia="Arial" w:hAnsi="Arial"/>
          <w:sz w:val="18"/>
          <w:szCs w:val="18"/>
          <w:color w:val="auto"/>
        </w:rPr>
        <w:t xml:space="preserve">” means, as of any date of determination, the sum of (a) the amount of outstanding Revolving Loans (inclusive of Swing Loans and Protective Advances),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the amount of the Letter of Credit Usage.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Lender that has a Revolving Loan Exposure or Letter of Credit Exposure.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Base Rate Margin</w:t>
      </w:r>
      <w:r>
        <w:rPr>
          <w:rFonts w:ascii="Arial" w:cs="Arial" w:eastAsia="Arial" w:hAnsi="Arial"/>
          <w:sz w:val="18"/>
          <w:szCs w:val="18"/>
          <w:color w:val="auto"/>
        </w:rPr>
        <w:t>” has the meaning set forth in the definition of Applicable Margin.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Exposure</w:t>
      </w:r>
      <w:r>
        <w:rPr>
          <w:rFonts w:ascii="Arial" w:cs="Arial" w:eastAsia="Arial" w:hAnsi="Arial"/>
          <w:sz w:val="18"/>
          <w:szCs w:val="18"/>
          <w:color w:val="auto"/>
        </w:rPr>
        <w:t>” means, with respect to any Revolving Lender, as of any date of determination (a) prior to the termination of the Revolver Commitments, the amount of such Lender’s Revolver Commitment, and (b) after the termination of the Revolver Commitments, the aggregate outstanding principal amount of the Revolving Loans of such Lender.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LIBOR Rate Margin</w:t>
      </w:r>
      <w:r>
        <w:rPr>
          <w:rFonts w:ascii="Arial" w:cs="Arial" w:eastAsia="Arial" w:hAnsi="Arial"/>
          <w:sz w:val="18"/>
          <w:szCs w:val="18"/>
          <w:color w:val="auto"/>
        </w:rPr>
        <w:t>” has the meaning set forth in the definition of Applicable Margin.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Entity</w:t>
      </w:r>
      <w:r>
        <w:rPr>
          <w:rFonts w:ascii="Arial" w:cs="Arial" w:eastAsia="Arial" w:hAnsi="Arial"/>
          <w:sz w:val="18"/>
          <w:szCs w:val="18"/>
          <w:color w:val="auto"/>
        </w:rPr>
        <w:t>” means (a) a country or territory or a government of a country or territory (b) an agency of the government of a country or territory, (c) an organization directly or indirectly controlled by a country or its government, or (d) a Person resident in or determined to be resident in a country or territory, in each case of clauses (a) through (d) that is a target of Sanctions, including a target of any country or territory sanctions program administered and enforced by OFAC.</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at any time (a) any Person named on the list of Specially Designated Nationals and Blocked Persons maintained by OFAC,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clauses (a) through (c) above.</w:t>
      </w:r>
    </w:p>
    <w:p>
      <w:pPr>
        <w:spacing w:after="0" w:line="1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Her Majesty’s Treasury of the United Kingdom, or (d) any other Governmental Authority with jurisdiction over any member of Lender Group or any Loan Party or any of their respective Subsidiaries or Affiliates.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has the meaning specified therefor in the definition of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and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w:t>
      </w:r>
      <w:r>
        <w:rPr>
          <w:rFonts w:ascii="Arial" w:cs="Arial" w:eastAsia="Arial" w:hAnsi="Arial"/>
          <w:sz w:val="18"/>
          <w:szCs w:val="18"/>
          <w:color w:val="auto"/>
        </w:rPr>
        <w:t>” means a securities account (as that term is defined in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 and any successor statute.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2.3(e)(i)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Date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2.3(e)(i)</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means, with respect to any Person as of any date of determination, that (a) at fair valuations, the sum of such Person’s debts (including contingent liabilities) is less than all of such Person’s assets, (b) such Person is not engaged or about to engage in a business or transaction for which the remaining assets of such Person are unreasonably small in relation to the business or transaction or for which the property remaining with such Person is an unreasonably small capital, (c) such Person has not incurred and does not intend to incur, or reasonably believe that it will incur, debts beyond its ability to pay such debts as they become due (whether at maturity or otherwise), and (d) such Person is “solvent” or not “insolvent”, as applicable within the meaning given those terms and similar terms under applicable laws including laws relating to fraudulent or unfair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Aviation Equipment Criteria</w:t>
      </w:r>
      <w:r>
        <w:rPr>
          <w:rFonts w:ascii="Arial" w:cs="Arial" w:eastAsia="Arial" w:hAnsi="Arial"/>
          <w:sz w:val="18"/>
          <w:szCs w:val="18"/>
          <w:color w:val="auto"/>
        </w:rPr>
        <w:t>” shall mean, with respect to any Whole Aircraft or Whole Engine, all of the following:</w:t>
      </w:r>
    </w:p>
    <w:p>
      <w:pPr>
        <w:spacing w:after="0" w:line="225" w:lineRule="exact"/>
        <w:rPr>
          <w:sz w:val="20"/>
          <w:szCs w:val="20"/>
          <w:color w:val="auto"/>
        </w:rPr>
      </w:pPr>
    </w:p>
    <w:p>
      <w:pPr>
        <w:jc w:val="both"/>
        <w:ind w:firstLine="1304"/>
        <w:spacing w:after="0" w:line="259" w:lineRule="auto"/>
        <w:tabs>
          <w:tab w:leader="none" w:pos="2152"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 xml:space="preserve">such Whole Aircraft or Whole Engine is maintained in accordance with the applicable regulations of the FAA, EASA, any air authority of any Pre-Approved Jurisdiction or another air authority reasonably satisfactory to Agent and is in airworthy or serviceable condition; </w:t>
      </w:r>
      <w:r>
        <w:rPr>
          <w:rFonts w:ascii="Arial" w:cs="Arial" w:eastAsia="Arial" w:hAnsi="Arial"/>
          <w:sz w:val="18"/>
          <w:szCs w:val="18"/>
          <w:u w:val="single" w:color="auto"/>
          <w:color w:val="auto"/>
        </w:rPr>
        <w:t>provided</w:t>
      </w:r>
      <w:r>
        <w:rPr>
          <w:rFonts w:ascii="Arial" w:cs="Arial" w:eastAsia="Arial" w:hAnsi="Arial"/>
          <w:sz w:val="18"/>
          <w:szCs w:val="18"/>
          <w:color w:val="auto"/>
        </w:rPr>
        <w:t>, that while a Whole Aircraft or Whole Engine is undergoing maintenance and repairs in the ordinary course of business, it will not, solely as a result of such maintenance or repairs, be deemed unairworthy or not in serviceable condition, as applicable;</w:t>
      </w:r>
    </w:p>
    <w:p>
      <w:pPr>
        <w:spacing w:after="0" w:line="186" w:lineRule="exact"/>
        <w:rPr>
          <w:rFonts w:ascii="Arial" w:cs="Arial" w:eastAsia="Arial" w:hAnsi="Arial"/>
          <w:sz w:val="18"/>
          <w:szCs w:val="18"/>
          <w:color w:val="010000"/>
        </w:rPr>
      </w:pPr>
    </w:p>
    <w:p>
      <w:pPr>
        <w:jc w:val="both"/>
        <w:ind w:firstLine="1304"/>
        <w:spacing w:after="0" w:line="275" w:lineRule="auto"/>
        <w:tabs>
          <w:tab w:leader="none" w:pos="2135" w:val="left"/>
        </w:tabs>
        <w:numPr>
          <w:ilvl w:val="0"/>
          <w:numId w:val="69"/>
        </w:numPr>
        <w:rPr>
          <w:rFonts w:ascii="Arial" w:cs="Arial" w:eastAsia="Arial" w:hAnsi="Arial"/>
          <w:sz w:val="17"/>
          <w:szCs w:val="17"/>
          <w:color w:val="010000"/>
        </w:rPr>
      </w:pPr>
      <w:r>
        <w:rPr>
          <w:rFonts w:ascii="Arial" w:cs="Arial" w:eastAsia="Arial" w:hAnsi="Arial"/>
          <w:sz w:val="17"/>
          <w:szCs w:val="17"/>
          <w:color w:val="auto"/>
        </w:rPr>
        <w:t>such Whole Aircraft or Whole Engine is subject to a perfected first priority security interest in favor of Agent that satisfies the Perfection Requirements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Administrative Borrower’s prior written request, Agent may deem a Whole Aircraft or Whole Engine that satisfies only the Limited Perfection Requirements to be in compliance with this clause (b);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 Agent shall not be obligated to provide any such accommodation, it being understood that each request for such a determination will be considered by Agent in its sole discretion on a case-by-case basis and (ii) at any time during such period, Agent may elect to revoke such determination in its Permitted Discretion);</w:t>
      </w:r>
    </w:p>
    <w:p>
      <w:pPr>
        <w:spacing w:after="0" w:line="176" w:lineRule="exact"/>
        <w:rPr>
          <w:rFonts w:ascii="Arial" w:cs="Arial" w:eastAsia="Arial" w:hAnsi="Arial"/>
          <w:sz w:val="17"/>
          <w:szCs w:val="17"/>
          <w:color w:val="010000"/>
        </w:rPr>
      </w:pPr>
    </w:p>
    <w:p>
      <w:pPr>
        <w:ind w:left="2220" w:hanging="916"/>
        <w:spacing w:after="0"/>
        <w:tabs>
          <w:tab w:leader="none" w:pos="2220"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2240" w:hanging="936"/>
        <w:spacing w:after="0"/>
        <w:tabs>
          <w:tab w:leader="none" w:pos="2240"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if such Whole Aircraft or Whole Engine is subject to a Lease, such Lease shall be an Eligible Lease;</w:t>
      </w:r>
    </w:p>
    <w:p>
      <w:pPr>
        <w:spacing w:after="0" w:line="225" w:lineRule="exact"/>
        <w:rPr>
          <w:rFonts w:ascii="Arial" w:cs="Arial" w:eastAsia="Arial" w:hAnsi="Arial"/>
          <w:sz w:val="18"/>
          <w:szCs w:val="18"/>
          <w:color w:val="010000"/>
        </w:rPr>
      </w:pPr>
    </w:p>
    <w:p>
      <w:pPr>
        <w:ind w:right="20" w:firstLine="1304"/>
        <w:spacing w:after="0" w:line="277" w:lineRule="auto"/>
        <w:tabs>
          <w:tab w:leader="none" w:pos="2314"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such Whole Aircraft or Whole Engine has a certificate of insurance naming Agent as loss payee or contract party and/or additional insured, as applicable, for the benefit of the Lenders, which certificate has been delivered to Agent;</w:t>
      </w:r>
    </w:p>
    <w:p>
      <w:pPr>
        <w:spacing w:after="0" w:line="170" w:lineRule="exact"/>
        <w:rPr>
          <w:rFonts w:ascii="Arial" w:cs="Arial" w:eastAsia="Arial" w:hAnsi="Arial"/>
          <w:sz w:val="18"/>
          <w:szCs w:val="18"/>
          <w:color w:val="010000"/>
        </w:rPr>
      </w:pPr>
    </w:p>
    <w:p>
      <w:pPr>
        <w:ind w:left="2480" w:hanging="1176"/>
        <w:spacing w:after="0"/>
        <w:tabs>
          <w:tab w:leader="none" w:pos="2480" w:val="left"/>
        </w:tabs>
        <w:numPr>
          <w:ilvl w:val="0"/>
          <w:numId w:val="69"/>
        </w:numPr>
        <w:rPr>
          <w:rFonts w:ascii="Arial" w:cs="Arial" w:eastAsia="Arial" w:hAnsi="Arial"/>
          <w:sz w:val="16"/>
          <w:szCs w:val="16"/>
          <w:color w:val="010000"/>
        </w:rPr>
      </w:pPr>
      <w:r>
        <w:rPr>
          <w:rFonts w:ascii="Arial" w:cs="Arial" w:eastAsia="Arial" w:hAnsi="Arial"/>
          <w:sz w:val="16"/>
          <w:szCs w:val="16"/>
          <w:color w:val="auto"/>
        </w:rPr>
        <w:t>notice and an Acceptable Appraisal has been delivered to Agent with respect to any newly acquired Whole Aircraft or</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Whole Engine;</w:t>
      </w:r>
    </w:p>
    <w:p>
      <w:pPr>
        <w:spacing w:after="0" w:line="210" w:lineRule="exact"/>
        <w:rPr>
          <w:rFonts w:ascii="Arial" w:cs="Arial" w:eastAsia="Arial" w:hAnsi="Arial"/>
          <w:sz w:val="16"/>
          <w:szCs w:val="16"/>
          <w:color w:val="010000"/>
        </w:rPr>
      </w:pPr>
    </w:p>
    <w:p>
      <w:pPr>
        <w:ind w:left="2240" w:hanging="936"/>
        <w:spacing w:after="0"/>
        <w:tabs>
          <w:tab w:leader="none" w:pos="2240"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jc w:val="both"/>
        <w:ind w:firstLine="1304"/>
        <w:spacing w:after="0" w:line="288" w:lineRule="auto"/>
        <w:tabs>
          <w:tab w:leader="none" w:pos="2365" w:val="left"/>
        </w:tabs>
        <w:numPr>
          <w:ilvl w:val="0"/>
          <w:numId w:val="69"/>
        </w:numPr>
        <w:rPr>
          <w:rFonts w:ascii="Arial" w:cs="Arial" w:eastAsia="Arial" w:hAnsi="Arial"/>
          <w:sz w:val="16"/>
          <w:szCs w:val="16"/>
          <w:color w:val="010000"/>
        </w:rPr>
      </w:pPr>
      <w:r>
        <w:rPr>
          <w:rFonts w:ascii="Arial" w:cs="Arial" w:eastAsia="Arial" w:hAnsi="Arial"/>
          <w:sz w:val="16"/>
          <w:szCs w:val="16"/>
          <w:color w:val="auto"/>
        </w:rPr>
        <w:t xml:space="preserve">(i) if subject to a Lease, then such Whole Aircraft or Whole Engine is leased into a Pre-Approved Jurisdiction or other jurisdiction approved by Agent in its Permitted Discretion (but not an Unapproved Foreign Jurisdiction), or (ii) if not subject to a Lease, then (x) such Whole Aircraft or Whole Engine is located at one of the locations in the continental United States set forth on </w:t>
      </w:r>
      <w:r>
        <w:rPr>
          <w:rFonts w:ascii="Arial" w:cs="Arial" w:eastAsia="Arial" w:hAnsi="Arial"/>
          <w:sz w:val="16"/>
          <w:szCs w:val="16"/>
          <w:u w:val="single" w:color="auto"/>
          <w:color w:val="auto"/>
        </w:rPr>
        <w:t>Schedule E-2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it is located on real property leased by a Borrower or in a contract warehouse or with a bailee, all storage arrangements with third parties with respect thereto are on terms and conditions acceptable to Agent pursuant to such documents as Agent shall require and for a duration acceptable to Agent, in each case, in its Permitted Discretion; or (y) in the case of a Whole Engine only, such Whole Engine is located in a Pre-Approved Jurisdiction or other jurisdiction approved by Agent in its Permitted Discretion (but not an Unapproved Foreign Jurisdiction) at a location acceptable to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it is located on real property leased by a Borrower or in a contract warehouse or with a bailee, (A) all storage arrangements with third parties with respect thereto are on terms and conditions acceptable to Agent pursuant to such documents as Agent shall require and for a duration acceptable to Agent, in each case, in its Permitted Discretion, and (B) such Whole Engine is segregated or otherwise separately identifiable from goods of others, if any, stored on the premises;</w:t>
      </w:r>
    </w:p>
    <w:p>
      <w:pPr>
        <w:spacing w:after="0" w:line="168" w:lineRule="exact"/>
        <w:rPr>
          <w:rFonts w:ascii="Arial" w:cs="Arial" w:eastAsia="Arial" w:hAnsi="Arial"/>
          <w:sz w:val="16"/>
          <w:szCs w:val="16"/>
          <w:color w:val="010000"/>
        </w:rPr>
      </w:pPr>
    </w:p>
    <w:p>
      <w:pPr>
        <w:ind w:left="2240" w:hanging="936"/>
        <w:spacing w:after="0"/>
        <w:tabs>
          <w:tab w:leader="none" w:pos="2240"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such Whole Aircraft or Whole Engine shall not be on lease to a Sanctioned Person; and</w:t>
      </w:r>
    </w:p>
    <w:p>
      <w:pPr>
        <w:spacing w:after="0" w:line="225" w:lineRule="exact"/>
        <w:rPr>
          <w:rFonts w:ascii="Arial" w:cs="Arial" w:eastAsia="Arial" w:hAnsi="Arial"/>
          <w:sz w:val="18"/>
          <w:szCs w:val="18"/>
          <w:color w:val="010000"/>
        </w:rPr>
      </w:pPr>
    </w:p>
    <w:p>
      <w:pPr>
        <w:ind w:left="2240" w:hanging="936"/>
        <w:spacing w:after="0"/>
        <w:tabs>
          <w:tab w:leader="none" w:pos="2240"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such Whole Aircraft and Whole Engines are not otherwise deemed ineligible by Agent in its Permitted Discretion.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Collateral</w:t>
      </w:r>
      <w:r>
        <w:rPr>
          <w:rFonts w:ascii="Arial" w:cs="Arial" w:eastAsia="Arial" w:hAnsi="Arial"/>
          <w:sz w:val="18"/>
          <w:szCs w:val="18"/>
          <w:color w:val="auto"/>
        </w:rPr>
        <w:t>” has the meaning specified therefor in the Guaranty and Security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Permitted Liens</w:t>
      </w:r>
      <w:r>
        <w:rPr>
          <w:rFonts w:ascii="Arial" w:cs="Arial" w:eastAsia="Arial" w:hAnsi="Arial"/>
          <w:sz w:val="17"/>
          <w:szCs w:val="17"/>
          <w:color w:val="auto"/>
        </w:rPr>
        <w:t>” shall mean (i) with respect to Eligible Whole Aircraft Collateral and Eligible Whole Engine Collateral, Permitted Liens described in items (a), (b) or (g) of the definition of “Permitted Liens,” Statutory Liens and Lease Transaction Liens, and (ii) otherwise, Permitted Liens which are non-consensual Permitted Liens, permitted purchase money Liens or the interests of lessors under Capital Leases.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any Investment, Permitted Indebtedness Prepayment, Restricted Payment (or declaration of any prepayment or Restricted Payment) or transaction with Affiliate.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Leonard Green &amp; Partners, L.P. and its Affiliates.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Affiliated Entity</w:t>
      </w:r>
      <w:r>
        <w:rPr>
          <w:rFonts w:ascii="Arial" w:cs="Arial" w:eastAsia="Arial" w:hAnsi="Arial"/>
          <w:sz w:val="18"/>
          <w:szCs w:val="18"/>
          <w:color w:val="auto"/>
        </w:rPr>
        <w:t>” means Sponsor or any of its Affiliates (other than Loan Parties or their Subsidiaries and other than operating portfolio companies of Sponsor and its Affiliates).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Letter of Credit Practice</w:t>
      </w:r>
      <w:r>
        <w:rPr>
          <w:rFonts w:ascii="Arial" w:cs="Arial" w:eastAsia="Arial" w:hAnsi="Arial"/>
          <w:sz w:val="18"/>
          <w:szCs w:val="18"/>
          <w:color w:val="auto"/>
        </w:rPr>
        <w:t>” means, for Issuing Bank, any domestic or foreign law or letter of credit practices applicable in the city in which Issuing Bank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or UCP, as chosen in the applicable Letter of Credit.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Lien</w:t>
      </w:r>
      <w:r>
        <w:rPr>
          <w:rFonts w:ascii="Arial" w:cs="Arial" w:eastAsia="Arial" w:hAnsi="Arial"/>
          <w:sz w:val="17"/>
          <w:szCs w:val="17"/>
          <w:color w:val="auto"/>
        </w:rPr>
        <w:t xml:space="preserve">” means any Permitted Lien arising solely by operation of law and not by contract in respect of which there is no likelihood that the continuance or existence of the same would or could result in any sale, loss or forfeiture of any Collateral and/or any criminal or civil penalties against Agent or any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lien does not exist for a period of more than thirty (30) days or is the subject of a Permitted Protest.</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means any Indebtedness of any Loan Party or its Subsidiaries incurred from time to time that is subordinated in right of payment to the Obligations and is subject to a Subordination Agreement or contains terms and conditions of subordination that are acceptable to Agent.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Subordination Agreement</w:t>
      </w:r>
      <w:r>
        <w:rPr>
          <w:rFonts w:ascii="Arial" w:cs="Arial" w:eastAsia="Arial" w:hAnsi="Arial"/>
          <w:sz w:val="18"/>
          <w:szCs w:val="18"/>
          <w:color w:val="auto"/>
        </w:rPr>
        <w:t>” means an agreement between Agent and the provider of any Subordinated Indebtedness that contains terms and conditions of subordination that are acceptable to Agent.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 Person means a corporation, partnership, limited liability company, trust or other entity in which that Person directly or indirectly owns or controls (i) the Equity Interests having ordinary voting power to elect a majority of the Board of Directors of such corporation, partnership, limited liability company or other entity, or (ii) in the case of a trust, more than 50% of the beneficial interests thereof.</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Supermajority Lenders</w:t>
      </w:r>
      <w:r>
        <w:rPr>
          <w:rFonts w:ascii="Arial" w:cs="Arial" w:eastAsia="Arial" w:hAnsi="Arial"/>
          <w:sz w:val="18"/>
          <w:szCs w:val="18"/>
          <w:color w:val="auto"/>
        </w:rPr>
        <w:t xml:space="preserve">” means, at any time, Revolving Lenders having or holding more than 66 2/3% of the aggregate Revolving Loan Exposure of all Revolving Lenders;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Revolving Loan Exposure of any Defaulting Lender shall be disregarded in the determination of the Supermajority Lenders, and (ii) at any time there are two or more Revolving Lenders (who are not Affiliates of one another), “Supermajority Lenders” must include at least two Revolving Lenders (who are not Affiliates of one another or Defaulting Lenders).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Loan Party,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Lender</w:t>
      </w:r>
      <w:r>
        <w:rPr>
          <w:rFonts w:ascii="Arial" w:cs="Arial" w:eastAsia="Arial" w:hAnsi="Arial"/>
          <w:sz w:val="18"/>
          <w:szCs w:val="18"/>
          <w:color w:val="auto"/>
        </w:rPr>
        <w:t xml:space="preserve">” means Wells Fargo or any other Lender that, at the request of Borrowers and with the consent of Agent agrees, in such Lender’s sole discretion, to become the Swing Lender under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Loan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Loan Exposure</w:t>
      </w:r>
      <w:r>
        <w:rPr>
          <w:rFonts w:ascii="Arial" w:cs="Arial" w:eastAsia="Arial" w:hAnsi="Arial"/>
          <w:sz w:val="18"/>
          <w:szCs w:val="18"/>
          <w:color w:val="auto"/>
        </w:rPr>
        <w:t>” means, as of any date of determination with respect to any Lender, such Lender’s Pro Rata Share of the Swing Loans on such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any taxes, levies, imposts, duties, fees, assessments or other charges of whatever nature now or hereafter imposed by any jurisdiction or by any political subdivision or taxing authority thereof or therein, and all interest, penalties or similar liabilities with respect thereto.</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14.2(a)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TCA</w:t>
      </w:r>
      <w:r>
        <w:rPr>
          <w:rFonts w:ascii="Arial" w:cs="Arial" w:eastAsia="Arial" w:hAnsi="Arial"/>
          <w:sz w:val="18"/>
          <w:szCs w:val="18"/>
          <w:color w:val="auto"/>
        </w:rPr>
        <w:t>” means the Taxes Consolidation Act 1997 of Ireland.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Plan</w:t>
      </w:r>
      <w:r>
        <w:rPr>
          <w:rFonts w:ascii="Arial" w:cs="Arial" w:eastAsia="Arial" w:hAnsi="Arial"/>
          <w:sz w:val="18"/>
          <w:szCs w:val="18"/>
          <w:color w:val="auto"/>
        </w:rPr>
        <w:t>” means a Pension Plan, that is covered by Title IV of ERISA, and that any Borrower or ERISA Affiliate maintains, contributes to or has an obligation to contribute to on behalf of participants who are or were employed by any of them.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Security Agreement</w:t>
      </w:r>
      <w:r>
        <w:rPr>
          <w:rFonts w:ascii="Arial" w:cs="Arial" w:eastAsia="Arial" w:hAnsi="Arial"/>
          <w:sz w:val="18"/>
          <w:szCs w:val="18"/>
          <w:color w:val="auto"/>
        </w:rPr>
        <w:t>” has the meaning specified therefor in the Guaranty and Security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2007 Revision, International Chamber of Commerce Publication No. 600 and any version or revision thereof accepted by Issuing Bank for use.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Unapproved Foreign Jurisdiction</w:t>
      </w:r>
      <w:r>
        <w:rPr>
          <w:rFonts w:ascii="Arial" w:cs="Arial" w:eastAsia="Arial" w:hAnsi="Arial"/>
          <w:sz w:val="18"/>
          <w:szCs w:val="18"/>
          <w:color w:val="auto"/>
        </w:rPr>
        <w:t>” means Turkey, China, Russia, Jordan, South Africa or any other foreign jurisdiction designated as such by Agent in its Permitted Discretion by 30 days prior written notice to Borrowers.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Unfinanced Capital Expenditures</w:t>
      </w:r>
      <w:r>
        <w:rPr>
          <w:rFonts w:ascii="Arial" w:cs="Arial" w:eastAsia="Arial" w:hAnsi="Arial"/>
          <w:sz w:val="18"/>
          <w:szCs w:val="18"/>
          <w:color w:val="auto"/>
        </w:rPr>
        <w:t>” means Capital Expenditures (a) not financed with the proceeds of any incurrence of Indebtedness (including, with respect to the purchase of assets to be held for lease, the incurrence of any Revolving Loans, but otherwise excluding the incurrence of any Revolving Loans), the proceeds of any sale or issuance of Equity Interests or equity contributions, the proceeds of any asset sale (other than the sale of Inventory in the ordinary course of business) or any insurance proceeds, and (b) that are either (i) not reimbursed by a third person (excluding any Loan Party or any of its Affiliates) in the period such expenditures are made pursuant to a written agreement or (ii) not reimbursable by a third person (excluding any Loan Party or any of its Affiliates) pursuant to a written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any Subsidiary of a Borrower designated as such in the following sentence or designated by a Borrower as an Unrestricted Subsidiary pursuant to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subsequent to the date hereof, in each case, until such Person ceases to be an Unrestricted Subsidiary of a Borrower or ceases to be a Subsidiary of a Borrower. As of the Closing Date, the following Subsidiaries constitute Unrestricted Subsidiaries: (i) AERSALE USA 2 LLC, (ii) AERSALE USA 2 SUB LLC, (iii) AERSALE 27043 LLC, (iv) AERSALE 27043 AVIATION LIMITED, (v) GABLES MSN 26343 LIMITED and (vi) AerSale Labuan 1 Limited.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Line Fee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Voidable Transfer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17.8</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 a national banking association.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Whole Aircraft</w:t>
      </w:r>
      <w:r>
        <w:rPr>
          <w:rFonts w:ascii="Arial" w:cs="Arial" w:eastAsia="Arial" w:hAnsi="Arial"/>
          <w:sz w:val="18"/>
          <w:szCs w:val="18"/>
          <w:color w:val="auto"/>
        </w:rPr>
        <w:t>” means any airframe that is within the scope of the definition of Eligible Whole Aircraft Collateral without considering the criteria set forth in such definition.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Whole Engine</w:t>
      </w:r>
      <w:r>
        <w:rPr>
          <w:rFonts w:ascii="Arial" w:cs="Arial" w:eastAsia="Arial" w:hAnsi="Arial"/>
          <w:sz w:val="18"/>
          <w:szCs w:val="18"/>
          <w:color w:val="auto"/>
        </w:rPr>
        <w:t>” means any aircraft engine that is within the scope of the definition of Eligible Whole Engine Collateral without considering the criteria set forth in such definition.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1.2 </w:t>
      </w:r>
      <w:r>
        <w:rPr>
          <w:rFonts w:ascii="Arial" w:cs="Arial" w:eastAsia="Arial" w:hAnsi="Arial"/>
          <w:sz w:val="16"/>
          <w:szCs w:val="16"/>
          <w:b w:val="1"/>
          <w:bCs w:val="1"/>
          <w:u w:val="single" w:color="auto"/>
          <w:color w:val="000000"/>
        </w:rPr>
        <w:t>Accounting Terms</w:t>
      </w:r>
      <w:r>
        <w:rPr>
          <w:rFonts w:ascii="Arial" w:cs="Arial" w:eastAsia="Arial" w:hAnsi="Arial"/>
          <w:sz w:val="16"/>
          <w:szCs w:val="16"/>
          <w:color w:val="000000"/>
        </w:rPr>
        <w:t>. All accounting terms not specifically defined herein shall be construed in accordance with GAAP;</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that</w:t>
      </w:r>
      <w:r>
        <w:rPr>
          <w:rFonts w:ascii="Arial" w:cs="Arial" w:eastAsia="Arial" w:hAnsi="Arial"/>
          <w:sz w:val="16"/>
          <w:szCs w:val="16"/>
          <w:color w:val="010000"/>
        </w:rPr>
        <w:t xml:space="preserve"> </w:t>
      </w:r>
      <w:r>
        <w:rPr>
          <w:rFonts w:ascii="Arial" w:cs="Arial" w:eastAsia="Arial" w:hAnsi="Arial"/>
          <w:sz w:val="16"/>
          <w:szCs w:val="16"/>
          <w:color w:val="000000"/>
        </w:rPr>
        <w:t>if Administrative Borrower notifies Agent that Borrowers request an amendment to any provision hereof to eliminate the effect of any Accounting Change occurring after the Closing Date or in the application thereof on the operation of such provision (or if Agent notifies Administrative Borrower that the Required Lenders request an amendment to any provision hereof for such purpose), regardless of whether any such notice is given before or after such Accounting Change or in the application thereof, then Agent and Borrowers agree that they will negotiate in good faith amendments to the provisions of this Agreement that are directly affected by such Accounting Change with the intent of having the respective positions of the Lenders and Borrowers after such Accounting Change conform as nearly as possible to their respective positions immediately before such Accounting Change took effect and, until any such amendments have been agreed upon and agreed to by the Required Lenders, the provisions in this Agreement shall be calculated as if no such Accounting Change had occurred. When used herein, the term “financial statements” shall include the notes and schedules thereto. Whenever the term “Parent” is used in respect of a financial covenant or a related definition, it shall be understood to mean the Loan Parties and their Subsidiaries on a consolidated basis, unless the context clearly requires otherwise. Notwithstanding anything to the contrary contained herein, (a) all financial statements delivered hereunder shall be prepared, and all financial covenants contained herein shall be calculated, without giving effect to any election under the Statement of Financial Accounting Standards Board’s Accounting Standards Codification Topic 825 (or any similar accounting principle) permitting a Person to value its financial liabilities or Indebtedness at the fair value thereof, and (b) the term “unqualified opinion” as used herein to refer to opinions or reports provided by accountants shall mean an opinion or report that is (i) unqualified, and (ii) does not include any explanation, supplemental comment, or other comment concerning the ability of the applicable Person to continue as a going concern or concerning the scope of the audit.</w:t>
      </w:r>
    </w:p>
    <w:p>
      <w:pPr>
        <w:spacing w:after="0" w:line="1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1.3 </w:t>
      </w:r>
      <w:r>
        <w:rPr>
          <w:rFonts w:ascii="Arial" w:cs="Arial" w:eastAsia="Arial" w:hAnsi="Arial"/>
          <w:sz w:val="18"/>
          <w:szCs w:val="18"/>
          <w:b w:val="1"/>
          <w:bCs w:val="1"/>
          <w:u w:val="single" w:color="auto"/>
          <w:color w:val="000000"/>
        </w:rPr>
        <w:t>Code</w:t>
      </w:r>
      <w:r>
        <w:rPr>
          <w:rFonts w:ascii="Arial" w:cs="Arial" w:eastAsia="Arial" w:hAnsi="Arial"/>
          <w:sz w:val="18"/>
          <w:szCs w:val="18"/>
          <w:color w:val="000000"/>
        </w:rPr>
        <w:t>. Any terms used in this Agreement that are defined in the Code shall be construed and defined as set forth in the Code unless</w:t>
      </w:r>
      <w:r>
        <w:rPr>
          <w:rFonts w:ascii="Arial" w:cs="Arial" w:eastAsia="Arial" w:hAnsi="Arial"/>
          <w:sz w:val="18"/>
          <w:szCs w:val="18"/>
          <w:color w:val="010000"/>
        </w:rPr>
        <w:t xml:space="preserve"> </w:t>
      </w:r>
      <w:r>
        <w:rPr>
          <w:rFonts w:ascii="Arial" w:cs="Arial" w:eastAsia="Arial" w:hAnsi="Arial"/>
          <w:sz w:val="18"/>
          <w:szCs w:val="18"/>
          <w:color w:val="000000"/>
        </w:rPr>
        <w:t xml:space="preserve">otherwise defined herein; </w:t>
      </w:r>
      <w:r>
        <w:rPr>
          <w:rFonts w:ascii="Arial" w:cs="Arial" w:eastAsia="Arial" w:hAnsi="Arial"/>
          <w:sz w:val="18"/>
          <w:szCs w:val="18"/>
          <w:u w:val="single" w:color="auto"/>
          <w:color w:val="000000"/>
        </w:rPr>
        <w:t>provided</w:t>
      </w:r>
      <w:r>
        <w:rPr>
          <w:rFonts w:ascii="Arial" w:cs="Arial" w:eastAsia="Arial" w:hAnsi="Arial"/>
          <w:sz w:val="18"/>
          <w:szCs w:val="18"/>
          <w:color w:val="000000"/>
        </w:rPr>
        <w:t>, that to the extent that the Code is used to define any term herein and such term is defined differently in different Articles of the Code, the definition of such term contained in Article 9 of the Code shall govern.</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010000"/>
        </w:rPr>
        <w:t xml:space="preserve">1.4 </w:t>
      </w:r>
      <w:r>
        <w:rPr>
          <w:rFonts w:ascii="Arial" w:cs="Arial" w:eastAsia="Arial" w:hAnsi="Arial"/>
          <w:sz w:val="16"/>
          <w:szCs w:val="16"/>
          <w:b w:val="1"/>
          <w:bCs w:val="1"/>
          <w:u w:val="single" w:color="auto"/>
          <w:color w:val="000000"/>
        </w:rPr>
        <w:t>Construction</w:t>
      </w:r>
      <w:r>
        <w:rPr>
          <w:rFonts w:ascii="Arial" w:cs="Arial" w:eastAsia="Arial" w:hAnsi="Arial"/>
          <w:sz w:val="16"/>
          <w:szCs w:val="16"/>
          <w:color w:val="000000"/>
        </w:rPr>
        <w:t>. Unless the context of this Agreement or any other Loan Document clearly requires otherwise, references to the plural</w:t>
      </w:r>
      <w:r>
        <w:rPr>
          <w:rFonts w:ascii="Arial" w:cs="Arial" w:eastAsia="Arial" w:hAnsi="Arial"/>
          <w:sz w:val="16"/>
          <w:szCs w:val="16"/>
          <w:color w:val="010000"/>
        </w:rPr>
        <w:t xml:space="preserve"> </w:t>
      </w:r>
      <w:r>
        <w:rPr>
          <w:rFonts w:ascii="Arial" w:cs="Arial" w:eastAsia="Arial" w:hAnsi="Arial"/>
          <w:sz w:val="16"/>
          <w:szCs w:val="16"/>
          <w:color w:val="000000"/>
        </w:rPr>
        <w:t>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Section, subsection, clause, schedule, and exhibit references herein are to this Agreement unless otherwise specified. Any reference in this Agreement or in any other Loan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The words “asset” and “property” shall be construed to have the same meaning and effect and to refer to any and all tangible and intangible assets and properties. Any reference herein or in any other Loan Document to the satisfaction, repayment, or payment in full of the Obligations shall mean (a) the payment or repayment in full in immediately available funds of (i) the principal amount of, and interest accrued and unpaid with respect to, all outstanding Loans, together with the payment of any premium applicable to the repayment of the Loans, (ii) all Lender Group Expenses that have accrued and are unpaid regardless of whether demand has been made therefor, and (iii) all fees or charges that have accrued hereunder or under any other Loan Document (including the Letter of Credit Fee and the Unused Line Fee) and are unpaid, (b) in the case of contingent reimbursement obligations with respect to Letters of Credit, providing Letter of Credit Collateralization, (c) in the case of obligations with respect to Bank Products (other than Hedge Obligations), providing Bank Product Collateralization, (d) the receipt by Agent of cash collateral in order to secure any other contingent Obligations for which a claim or demand for payment has been made on or prior to such time or in respect of matters or circumstances known to Agent or a Lender at such time that are reasonably expected to result in any loss, cost, damage, or expense (including attorneys’ fees and legal expenses), such cash collateral to be in such amount as Agent reasonably determines is appropriate to secure such contingent Obligations, (e) the payment or repayment in full in immediately available funds of all other outstanding Obligations (including the payment of any termination amount then applicable (or which would or could become applicable as a result of the repayment of the other Obligations) under Hedge Agreements provided by Hedge Providers) other than (i) unasserted contingent indemnification Obligations, (ii) any Bank Product Obligations (other than Hedge Obligations) that, at such time, are allowed by the applicable Bank Product Provider to remain outstanding without being required to be repaid or cash collateralized, and (iii) any Hedge Obligations that, at such time, are allowed by the applicable Hedge Provider to remain outstanding without being required to be repaid, and (f) the termination of all of the Commitments of the Lenders. Any reference herein to any Person shall be construed to include such Person’s successors and assigns. Any requirement of a writing contained herein or in any other Loan Document shall be satisfied by the transmission of a Record.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jc w:val="both"/>
        <w:ind w:firstLine="648"/>
        <w:spacing w:after="0" w:line="258" w:lineRule="auto"/>
        <w:rPr>
          <w:sz w:val="20"/>
          <w:szCs w:val="20"/>
          <w:color w:val="auto"/>
        </w:rPr>
      </w:pPr>
      <w:r>
        <w:rPr>
          <w:rFonts w:ascii="Arial" w:cs="Arial" w:eastAsia="Arial" w:hAnsi="Arial"/>
          <w:sz w:val="18"/>
          <w:szCs w:val="18"/>
          <w:color w:val="010000"/>
        </w:rPr>
        <w:t xml:space="preserve">1.5 </w:t>
      </w:r>
      <w:r>
        <w:rPr>
          <w:rFonts w:ascii="Arial" w:cs="Arial" w:eastAsia="Arial" w:hAnsi="Arial"/>
          <w:sz w:val="18"/>
          <w:szCs w:val="18"/>
          <w:b w:val="1"/>
          <w:bCs w:val="1"/>
          <w:u w:val="single" w:color="auto"/>
          <w:color w:val="000000"/>
        </w:rPr>
        <w:t>Time References</w:t>
      </w:r>
      <w:r>
        <w:rPr>
          <w:rFonts w:ascii="Arial" w:cs="Arial" w:eastAsia="Arial" w:hAnsi="Arial"/>
          <w:sz w:val="18"/>
          <w:szCs w:val="18"/>
          <w:color w:val="000000"/>
        </w:rPr>
        <w:t>. Unless the context of this Agreement or any other Loan Document clearly requires otherwise, all references to time of</w:t>
      </w:r>
      <w:r>
        <w:rPr>
          <w:rFonts w:ascii="Arial" w:cs="Arial" w:eastAsia="Arial" w:hAnsi="Arial"/>
          <w:sz w:val="18"/>
          <w:szCs w:val="18"/>
          <w:color w:val="010000"/>
        </w:rPr>
        <w:t xml:space="preserve"> </w:t>
      </w:r>
      <w:r>
        <w:rPr>
          <w:rFonts w:ascii="Arial" w:cs="Arial" w:eastAsia="Arial" w:hAnsi="Arial"/>
          <w:sz w:val="18"/>
          <w:szCs w:val="18"/>
          <w:color w:val="000000"/>
        </w:rPr>
        <w:t xml:space="preserve">day refer to Pacific standard time or Pacific daylight saving time, as in effect in Los Angeles, California on such day. For purposes of the computation of a period of time from a specified date to a later specified date, unless otherwise expressly provided, the word “from” means “from and including” and the words “to” and “until” each means “to and including”; </w:t>
      </w:r>
      <w:r>
        <w:rPr>
          <w:rFonts w:ascii="Arial" w:cs="Arial" w:eastAsia="Arial" w:hAnsi="Arial"/>
          <w:sz w:val="18"/>
          <w:szCs w:val="18"/>
          <w:u w:val="single" w:color="auto"/>
          <w:color w:val="000000"/>
        </w:rPr>
        <w:t>provided</w:t>
      </w:r>
      <w:r>
        <w:rPr>
          <w:rFonts w:ascii="Arial" w:cs="Arial" w:eastAsia="Arial" w:hAnsi="Arial"/>
          <w:sz w:val="18"/>
          <w:szCs w:val="18"/>
          <w:color w:val="000000"/>
        </w:rPr>
        <w:t>, that with respect to a computation of fees or interest payable to Agent or any Lender, such period shall in any event consist of at least one full day.</w:t>
      </w:r>
    </w:p>
    <w:p>
      <w:pPr>
        <w:spacing w:after="0" w:line="18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010000"/>
        </w:rPr>
        <w:t>1.6</w:t>
      </w:r>
      <w:r>
        <w:rPr>
          <w:sz w:val="20"/>
          <w:szCs w:val="20"/>
          <w:color w:val="auto"/>
        </w:rPr>
        <w:tab/>
      </w:r>
      <w:r>
        <w:rPr>
          <w:rFonts w:ascii="Arial" w:cs="Arial" w:eastAsia="Arial" w:hAnsi="Arial"/>
          <w:sz w:val="16"/>
          <w:szCs w:val="16"/>
          <w:b w:val="1"/>
          <w:bCs w:val="1"/>
          <w:u w:val="single" w:color="auto"/>
          <w:color w:val="auto"/>
        </w:rPr>
        <w:t>Schedules and Exhibits</w:t>
      </w:r>
      <w:r>
        <w:rPr>
          <w:rFonts w:ascii="Arial" w:cs="Arial" w:eastAsia="Arial" w:hAnsi="Arial"/>
          <w:sz w:val="16"/>
          <w:szCs w:val="16"/>
          <w:color w:val="auto"/>
        </w:rPr>
        <w:t>. All of the schedules and exhibits attached to this Agreement shall be deemed incorporated herein by reference.</w:t>
      </w:r>
    </w:p>
    <w:p>
      <w:pPr>
        <w:spacing w:after="0" w:line="225" w:lineRule="exact"/>
        <w:rPr>
          <w:sz w:val="20"/>
          <w:szCs w:val="20"/>
          <w:color w:val="auto"/>
        </w:rPr>
      </w:pPr>
    </w:p>
    <w:p>
      <w:pPr>
        <w:ind w:left="720" w:hanging="712"/>
        <w:spacing w:after="0"/>
        <w:tabs>
          <w:tab w:leader="none" w:pos="720" w:val="left"/>
        </w:tabs>
        <w:numPr>
          <w:ilvl w:val="0"/>
          <w:numId w:val="70"/>
        </w:numPr>
        <w:rPr>
          <w:rFonts w:ascii="Arial" w:cs="Arial" w:eastAsia="Arial" w:hAnsi="Arial"/>
          <w:sz w:val="18"/>
          <w:szCs w:val="18"/>
          <w:color w:val="010000"/>
        </w:rPr>
      </w:pPr>
      <w:r>
        <w:rPr>
          <w:rFonts w:ascii="Arial" w:cs="Arial" w:eastAsia="Arial" w:hAnsi="Arial"/>
          <w:sz w:val="18"/>
          <w:szCs w:val="18"/>
          <w:b w:val="1"/>
          <w:bCs w:val="1"/>
          <w:color w:val="auto"/>
        </w:rPr>
        <w:t>LOANS AND TERMS OF PAYMENT.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010000"/>
        </w:rPr>
        <w:t>2.1</w:t>
      </w:r>
      <w:r>
        <w:rPr>
          <w:sz w:val="20"/>
          <w:szCs w:val="20"/>
          <w:color w:val="auto"/>
        </w:rPr>
        <w:tab/>
      </w:r>
      <w:r>
        <w:rPr>
          <w:rFonts w:ascii="Arial" w:cs="Arial" w:eastAsia="Arial" w:hAnsi="Arial"/>
          <w:sz w:val="15"/>
          <w:szCs w:val="15"/>
          <w:b w:val="1"/>
          <w:bCs w:val="1"/>
          <w:u w:val="single" w:color="auto"/>
          <w:color w:val="auto"/>
        </w:rPr>
        <w:t>Revolving Loans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63" w:lineRule="auto"/>
        <w:tabs>
          <w:tab w:leader="none" w:pos="2215" w:val="left"/>
        </w:tabs>
        <w:numPr>
          <w:ilvl w:val="1"/>
          <w:numId w:val="71"/>
        </w:numPr>
        <w:rPr>
          <w:rFonts w:ascii="Arial" w:cs="Arial" w:eastAsia="Arial" w:hAnsi="Arial"/>
          <w:sz w:val="18"/>
          <w:szCs w:val="18"/>
          <w:color w:val="010000"/>
        </w:rPr>
      </w:pPr>
      <w:r>
        <w:rPr>
          <w:rFonts w:ascii="Arial" w:cs="Arial" w:eastAsia="Arial" w:hAnsi="Arial"/>
          <w:sz w:val="18"/>
          <w:szCs w:val="18"/>
          <w:color w:val="auto"/>
        </w:rPr>
        <w:t>Subject to the terms and conditions of this Agreement, and during the term of this Agreement, each Revolving Lender agrees (severally, not jointly or jointly and severally) to make revolving loans (“</w:t>
      </w:r>
      <w:r>
        <w:rPr>
          <w:rFonts w:ascii="Arial" w:cs="Arial" w:eastAsia="Arial" w:hAnsi="Arial"/>
          <w:sz w:val="18"/>
          <w:szCs w:val="18"/>
          <w:u w:val="single" w:color="auto"/>
          <w:color w:val="auto"/>
        </w:rPr>
        <w:t>Revolving Loans</w:t>
      </w:r>
      <w:r>
        <w:rPr>
          <w:rFonts w:ascii="Arial" w:cs="Arial" w:eastAsia="Arial" w:hAnsi="Arial"/>
          <w:sz w:val="18"/>
          <w:szCs w:val="18"/>
          <w:color w:val="auto"/>
        </w:rPr>
        <w:t xml:space="preserve">”) to Borrowers in an amount at any one time outstanding not to exceed </w:t>
      </w:r>
      <w:r>
        <w:rPr>
          <w:rFonts w:ascii="Arial" w:cs="Arial" w:eastAsia="Arial" w:hAnsi="Arial"/>
          <w:sz w:val="18"/>
          <w:szCs w:val="18"/>
          <w:i w:val="1"/>
          <w:iCs w:val="1"/>
          <w:color w:val="auto"/>
        </w:rPr>
        <w:t>the lesser of</w:t>
      </w:r>
      <w:r>
        <w:rPr>
          <w:rFonts w:ascii="Arial" w:cs="Arial" w:eastAsia="Arial" w:hAnsi="Arial"/>
          <w:sz w:val="18"/>
          <w:szCs w:val="18"/>
          <w:color w:val="auto"/>
        </w:rPr>
        <w:t>:</w:t>
      </w:r>
    </w:p>
    <w:p>
      <w:pPr>
        <w:spacing w:after="0" w:line="183" w:lineRule="exact"/>
        <w:rPr>
          <w:rFonts w:ascii="Arial" w:cs="Arial" w:eastAsia="Arial" w:hAnsi="Arial"/>
          <w:sz w:val="18"/>
          <w:szCs w:val="18"/>
          <w:color w:val="010000"/>
        </w:rPr>
      </w:pPr>
    </w:p>
    <w:p>
      <w:pPr>
        <w:ind w:left="2660" w:hanging="708"/>
        <w:spacing w:after="0"/>
        <w:tabs>
          <w:tab w:leader="none" w:pos="2660" w:val="left"/>
        </w:tabs>
        <w:numPr>
          <w:ilvl w:val="2"/>
          <w:numId w:val="71"/>
        </w:numPr>
        <w:rPr>
          <w:rFonts w:ascii="Arial" w:cs="Arial" w:eastAsia="Arial" w:hAnsi="Arial"/>
          <w:sz w:val="18"/>
          <w:szCs w:val="18"/>
          <w:color w:val="auto"/>
        </w:rPr>
      </w:pPr>
      <w:r>
        <w:rPr>
          <w:rFonts w:ascii="Arial" w:cs="Arial" w:eastAsia="Arial" w:hAnsi="Arial"/>
          <w:sz w:val="18"/>
          <w:szCs w:val="18"/>
          <w:color w:val="auto"/>
        </w:rPr>
        <w:t>such Lender’s Revolver Commitment, or</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2"/>
          <w:numId w:val="71"/>
        </w:numPr>
        <w:rPr>
          <w:rFonts w:ascii="Arial" w:cs="Arial" w:eastAsia="Arial" w:hAnsi="Arial"/>
          <w:sz w:val="18"/>
          <w:szCs w:val="18"/>
          <w:color w:val="auto"/>
        </w:rPr>
      </w:pPr>
      <w:r>
        <w:rPr>
          <w:rFonts w:ascii="Arial" w:cs="Arial" w:eastAsia="Arial" w:hAnsi="Arial"/>
          <w:sz w:val="18"/>
          <w:szCs w:val="18"/>
          <w:color w:val="auto"/>
        </w:rPr>
        <w:t xml:space="preserve">such Lender’s Pro Rata Share of an amount equal to </w:t>
      </w:r>
      <w:r>
        <w:rPr>
          <w:rFonts w:ascii="Arial" w:cs="Arial" w:eastAsia="Arial" w:hAnsi="Arial"/>
          <w:sz w:val="18"/>
          <w:szCs w:val="18"/>
          <w:i w:val="1"/>
          <w:iCs w:val="1"/>
          <w:color w:val="auto"/>
        </w:rPr>
        <w:t>the lesser of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600"/>
        <w:spacing w:after="0" w:line="277" w:lineRule="auto"/>
        <w:tabs>
          <w:tab w:leader="none" w:pos="3467" w:val="left"/>
        </w:tabs>
        <w:numPr>
          <w:ilvl w:val="3"/>
          <w:numId w:val="71"/>
        </w:numPr>
        <w:rPr>
          <w:rFonts w:ascii="Arial" w:cs="Arial" w:eastAsia="Arial" w:hAnsi="Arial"/>
          <w:sz w:val="18"/>
          <w:szCs w:val="18"/>
          <w:color w:val="auto"/>
        </w:rPr>
      </w:pPr>
      <w:r>
        <w:rPr>
          <w:rFonts w:ascii="Arial" w:cs="Arial" w:eastAsia="Arial" w:hAnsi="Arial"/>
          <w:sz w:val="18"/>
          <w:szCs w:val="18"/>
          <w:color w:val="auto"/>
        </w:rPr>
        <w:t xml:space="preserve">the amount equal to (1) the Maximum Revolver Amount,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the sum of (y) the Letter of Credit Usage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(z) the principal amount of Swing Loans outstanding at such time, and</w:t>
      </w:r>
    </w:p>
    <w:p>
      <w:pPr>
        <w:spacing w:after="0" w:line="170" w:lineRule="exact"/>
        <w:rPr>
          <w:rFonts w:ascii="Arial" w:cs="Arial" w:eastAsia="Arial" w:hAnsi="Arial"/>
          <w:sz w:val="18"/>
          <w:szCs w:val="18"/>
          <w:color w:val="auto"/>
        </w:rPr>
      </w:pPr>
    </w:p>
    <w:p>
      <w:pPr>
        <w:jc w:val="both"/>
        <w:ind w:right="20" w:firstLine="2600"/>
        <w:spacing w:after="0" w:line="263" w:lineRule="auto"/>
        <w:tabs>
          <w:tab w:leader="none" w:pos="3542" w:val="left"/>
        </w:tabs>
        <w:numPr>
          <w:ilvl w:val="3"/>
          <w:numId w:val="71"/>
        </w:numPr>
        <w:rPr>
          <w:rFonts w:ascii="Arial" w:cs="Arial" w:eastAsia="Arial" w:hAnsi="Arial"/>
          <w:sz w:val="18"/>
          <w:szCs w:val="18"/>
          <w:color w:val="auto"/>
        </w:rPr>
      </w:pPr>
      <w:r>
        <w:rPr>
          <w:rFonts w:ascii="Arial" w:cs="Arial" w:eastAsia="Arial" w:hAnsi="Arial"/>
          <w:sz w:val="18"/>
          <w:szCs w:val="18"/>
          <w:color w:val="auto"/>
        </w:rPr>
        <w:t xml:space="preserve">the amount equal to (1) the Borrowing Base as of such date (based upon the most recent Borrowing Base Certificate delivered by Borrowers to Agent, as adjusted for Reserves established by Agent in accordance with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the sum of (x) the Letter of Credit Usage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the principal amount of Swing Loans outstanding at such time.</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333" w:val="left"/>
        </w:tabs>
        <w:numPr>
          <w:ilvl w:val="1"/>
          <w:numId w:val="71"/>
        </w:numPr>
        <w:rPr>
          <w:rFonts w:ascii="Arial" w:cs="Arial" w:eastAsia="Arial" w:hAnsi="Arial"/>
          <w:sz w:val="18"/>
          <w:szCs w:val="18"/>
          <w:color w:val="010000"/>
        </w:rPr>
      </w:pPr>
      <w:r>
        <w:rPr>
          <w:rFonts w:ascii="Arial" w:cs="Arial" w:eastAsia="Arial" w:hAnsi="Arial"/>
          <w:sz w:val="18"/>
          <w:szCs w:val="18"/>
          <w:color w:val="auto"/>
        </w:rPr>
        <w:t xml:space="preserve">Amounts borrowed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may be repaid and, subject to the terms and conditions of this Agreement, reborrowed at any time during the term of this Agreement. The outstanding principal amount of the Revolving Loans, together with interest accrued and unpaid thereon, shall constitute Obligations and shall be due and payable on the Maturity Date or, if earlier, on the date on which they otherwise become due and payable pursuant to the terms of this Agreement.</w:t>
      </w:r>
    </w:p>
    <w:p>
      <w:pPr>
        <w:spacing w:after="0" w:line="186" w:lineRule="exact"/>
        <w:rPr>
          <w:rFonts w:ascii="Arial" w:cs="Arial" w:eastAsia="Arial" w:hAnsi="Arial"/>
          <w:sz w:val="18"/>
          <w:szCs w:val="18"/>
          <w:color w:val="010000"/>
        </w:rPr>
      </w:pPr>
    </w:p>
    <w:p>
      <w:pPr>
        <w:jc w:val="both"/>
        <w:ind w:firstLine="1304"/>
        <w:spacing w:after="0" w:line="283" w:lineRule="auto"/>
        <w:tabs>
          <w:tab w:leader="none" w:pos="2269" w:val="left"/>
        </w:tabs>
        <w:numPr>
          <w:ilvl w:val="1"/>
          <w:numId w:val="71"/>
        </w:numPr>
        <w:rPr>
          <w:rFonts w:ascii="Arial" w:cs="Arial" w:eastAsia="Arial" w:hAnsi="Arial"/>
          <w:sz w:val="16"/>
          <w:szCs w:val="16"/>
          <w:color w:val="010000"/>
        </w:rPr>
      </w:pPr>
      <w:r>
        <w:rPr>
          <w:rFonts w:ascii="Arial" w:cs="Arial" w:eastAsia="Arial" w:hAnsi="Arial"/>
          <w:sz w:val="16"/>
          <w:szCs w:val="16"/>
          <w:color w:val="auto"/>
        </w:rPr>
        <w:t xml:space="preserve">Anything to the contrary in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notwithstanding, Agent shall have the right (but not the obligation) at any time, in the exercise of its Permitted Discretion, to establish and increase or decrease Reserves against the Borrowing Base or the Maximum Revolver Amount (which shall be reduced thereby). The amount of any Reserve established by Agent, and any changes to the eligibility criteria set forth in the definitions of Eligible Accounts, Eligible Whole Aircraft Collateral, Eligible Whole Engine Collateral or Eligible Parts shall have a reasonable relationship to the event, condition, other circumstance, or fact that is the basis for such reserve or change in eligibility and shall not be duplicative of any other reserve established and currently maintained or eligibility criteria. Agent shall notify Borrowers at least five Business Days prior to the date on which any such reserve is to be established or increased or any eligibility criterion is to be changed (during which period Agent shall be available to discuss any such proposed Reserve or increase, or eligibility criterion change, with Borrowers and Borrowers may take such action as may be required so that the event, condition or matter that is the basis for such Reserve or increase, or eligibility criterion change, no longer exists, in a manner and to the extent reasonably satisfactory to Agent);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 the Borrowers may not obtain any new Revolving Loans (including Swing Loans) or Letters of Credit to the extent that such Revolving Loan (including Swing Loans) or Letter of Credit would cause an Overadvance after giving effect to the establishment or increase of such Reserve, or change to eligibility criterion, as set forth in such notice, (ii) no such prior notice shall be required for changes to any Reserves or eligibility criteria resulting solely by virtue of mathematical calculations of the amount of the Reserve or eligibility criterion in accordance with the methodology of calculation set forth in this Agreement or previously utilized, (iii) no such prior notice shall be required during the continuance of any Event of Default and</w:t>
      </w:r>
    </w:p>
    <w:p>
      <w:pPr>
        <w:spacing w:after="0" w:line="1" w:lineRule="exact"/>
        <w:rPr>
          <w:rFonts w:ascii="Arial" w:cs="Arial" w:eastAsia="Arial" w:hAnsi="Arial"/>
          <w:sz w:val="16"/>
          <w:szCs w:val="16"/>
          <w:color w:val="010000"/>
        </w:rPr>
      </w:pPr>
    </w:p>
    <w:p>
      <w:pPr>
        <w:ind w:firstLine="8"/>
        <w:spacing w:after="0" w:line="260" w:lineRule="auto"/>
        <w:tabs>
          <w:tab w:leader="none" w:pos="3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such prior notice shall be required with respect to any Reserve established in respect of any Lien that has priority over Agent’s Liens on the Collateral.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jc w:val="both"/>
        <w:ind w:firstLine="648"/>
        <w:spacing w:after="0" w:line="258" w:lineRule="auto"/>
        <w:rPr>
          <w:sz w:val="20"/>
          <w:szCs w:val="20"/>
          <w:color w:val="auto"/>
        </w:rPr>
      </w:pPr>
      <w:r>
        <w:rPr>
          <w:rFonts w:ascii="Arial" w:cs="Arial" w:eastAsia="Arial" w:hAnsi="Arial"/>
          <w:sz w:val="18"/>
          <w:szCs w:val="18"/>
          <w:color w:val="010000"/>
        </w:rPr>
        <w:t xml:space="preserve">2.2 </w:t>
      </w:r>
      <w:r>
        <w:rPr>
          <w:rFonts w:ascii="Arial" w:cs="Arial" w:eastAsia="Arial" w:hAnsi="Arial"/>
          <w:sz w:val="18"/>
          <w:szCs w:val="18"/>
          <w:b w:val="1"/>
          <w:bCs w:val="1"/>
          <w:u w:val="single" w:color="auto"/>
          <w:color w:val="000000"/>
        </w:rPr>
        <w:t>Asset Purchase Borrowing Base Adjustment</w:t>
      </w:r>
      <w:r>
        <w:rPr>
          <w:rFonts w:ascii="Arial" w:cs="Arial" w:eastAsia="Arial" w:hAnsi="Arial"/>
          <w:sz w:val="18"/>
          <w:szCs w:val="18"/>
          <w:color w:val="000000"/>
        </w:rPr>
        <w:t>. For purposes of the calculation of the Borrowing Base in respect of any Revolving Loans</w:t>
      </w:r>
      <w:r>
        <w:rPr>
          <w:rFonts w:ascii="Arial" w:cs="Arial" w:eastAsia="Arial" w:hAnsi="Arial"/>
          <w:sz w:val="18"/>
          <w:szCs w:val="18"/>
          <w:color w:val="010000"/>
        </w:rPr>
        <w:t xml:space="preserve"> </w:t>
      </w:r>
      <w:r>
        <w:rPr>
          <w:rFonts w:ascii="Arial" w:cs="Arial" w:eastAsia="Arial" w:hAnsi="Arial"/>
          <w:sz w:val="18"/>
          <w:szCs w:val="18"/>
          <w:color w:val="000000"/>
        </w:rPr>
        <w:t>to be made by any Lender to Borrowers hereunder, the value of any Whole Aircraft or Whole Engine to be purchased by Borrowers with the proceeds of such Revolving Loan, as determined pursuant to an Acceptable Appraisal specific to such Whole Aircraft or Whole Engine and delivered to Agent at least ten Business Days (or such lesser period as agreed by Agent) prior to the date of the requested Revolving Loan, may be included in such calculation provided that:</w:t>
      </w:r>
    </w:p>
    <w:p>
      <w:pPr>
        <w:spacing w:after="0" w:line="187" w:lineRule="exact"/>
        <w:rPr>
          <w:sz w:val="20"/>
          <w:szCs w:val="20"/>
          <w:color w:val="auto"/>
        </w:rPr>
      </w:pPr>
    </w:p>
    <w:p>
      <w:pPr>
        <w:jc w:val="both"/>
        <w:ind w:firstLine="1304"/>
        <w:spacing w:after="0" w:line="263" w:lineRule="auto"/>
        <w:tabs>
          <w:tab w:leader="none" w:pos="2269"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prior to or concurrently with (in the normal sequence of aviation transactions) the making of the requested Revolving Loan, Borrowers shall have executed and delivered or caused to be executed and delivered to Agent an Aircraft Mortgage or an Engine Mortgage conforming to the requirements of the Guaranty and Security Agreement;</w:t>
      </w:r>
    </w:p>
    <w:p>
      <w:pPr>
        <w:spacing w:after="0" w:line="183" w:lineRule="exact"/>
        <w:rPr>
          <w:rFonts w:ascii="Arial" w:cs="Arial" w:eastAsia="Arial" w:hAnsi="Arial"/>
          <w:sz w:val="18"/>
          <w:szCs w:val="18"/>
          <w:color w:val="010000"/>
        </w:rPr>
      </w:pPr>
    </w:p>
    <w:p>
      <w:pPr>
        <w:ind w:left="2280" w:hanging="976"/>
        <w:spacing w:after="0"/>
        <w:tabs>
          <w:tab w:leader="none" w:pos="2280" w:val="left"/>
        </w:tabs>
        <w:numPr>
          <w:ilvl w:val="0"/>
          <w:numId w:val="73"/>
        </w:numPr>
        <w:rPr>
          <w:rFonts w:ascii="Arial" w:cs="Arial" w:eastAsia="Arial" w:hAnsi="Arial"/>
          <w:sz w:val="16"/>
          <w:szCs w:val="16"/>
          <w:color w:val="010000"/>
        </w:rPr>
      </w:pPr>
      <w:r>
        <w:rPr>
          <w:rFonts w:ascii="Arial" w:cs="Arial" w:eastAsia="Arial" w:hAnsi="Arial"/>
          <w:sz w:val="16"/>
          <w:szCs w:val="16"/>
          <w:color w:val="auto"/>
        </w:rPr>
        <w:t>the proceeds of such Revolving Loan, in their entirety, are applied towards payment of the acquisition price for such Whole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Aircraft or Whole Engine;</w:t>
      </w:r>
    </w:p>
    <w:p>
      <w:pPr>
        <w:spacing w:after="0" w:line="210" w:lineRule="exact"/>
        <w:rPr>
          <w:rFonts w:ascii="Arial" w:cs="Arial" w:eastAsia="Arial" w:hAnsi="Arial"/>
          <w:sz w:val="16"/>
          <w:szCs w:val="16"/>
          <w:color w:val="010000"/>
        </w:rPr>
      </w:pPr>
    </w:p>
    <w:p>
      <w:pPr>
        <w:ind w:left="2260" w:hanging="956"/>
        <w:spacing w:after="0"/>
        <w:tabs>
          <w:tab w:leader="none" w:pos="2260"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2360" w:hanging="1056"/>
        <w:spacing w:after="0"/>
        <w:tabs>
          <w:tab w:leader="none" w:pos="2360" w:val="left"/>
        </w:tabs>
        <w:numPr>
          <w:ilvl w:val="0"/>
          <w:numId w:val="73"/>
        </w:numPr>
        <w:rPr>
          <w:rFonts w:ascii="Arial" w:cs="Arial" w:eastAsia="Arial" w:hAnsi="Arial"/>
          <w:sz w:val="17"/>
          <w:szCs w:val="17"/>
          <w:color w:val="010000"/>
        </w:rPr>
      </w:pPr>
      <w:r>
        <w:rPr>
          <w:rFonts w:ascii="Arial" w:cs="Arial" w:eastAsia="Arial" w:hAnsi="Arial"/>
          <w:sz w:val="17"/>
          <w:szCs w:val="17"/>
          <w:color w:val="auto"/>
        </w:rPr>
        <w:t>the acquisition of such Whole Aircraft or Whole Engine occurs concurrently or immediately following the making of the</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relevant Revolving Loan;</w:t>
      </w:r>
    </w:p>
    <w:p>
      <w:pPr>
        <w:spacing w:after="0" w:line="210" w:lineRule="exact"/>
        <w:rPr>
          <w:rFonts w:ascii="Arial" w:cs="Arial" w:eastAsia="Arial" w:hAnsi="Arial"/>
          <w:sz w:val="17"/>
          <w:szCs w:val="17"/>
          <w:color w:val="010000"/>
        </w:rPr>
      </w:pPr>
    </w:p>
    <w:p>
      <w:pPr>
        <w:ind w:left="2280" w:hanging="976"/>
        <w:spacing w:after="0"/>
        <w:tabs>
          <w:tab w:leader="none" w:pos="2280" w:val="left"/>
        </w:tabs>
        <w:numPr>
          <w:ilvl w:val="0"/>
          <w:numId w:val="73"/>
        </w:numPr>
        <w:rPr>
          <w:rFonts w:ascii="Arial" w:cs="Arial" w:eastAsia="Arial" w:hAnsi="Arial"/>
          <w:sz w:val="16"/>
          <w:szCs w:val="16"/>
          <w:color w:val="010000"/>
        </w:rPr>
      </w:pPr>
      <w:r>
        <w:rPr>
          <w:rFonts w:ascii="Arial" w:cs="Arial" w:eastAsia="Arial" w:hAnsi="Arial"/>
          <w:sz w:val="16"/>
          <w:szCs w:val="16"/>
          <w:color w:val="auto"/>
        </w:rPr>
        <w:t>upon the acquisition of such Whole Aircraft or Whole Engine, Borrowers shall take all action necessary to comply with the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Perfection Requirements;</w:t>
      </w:r>
    </w:p>
    <w:p>
      <w:pPr>
        <w:spacing w:after="0" w:line="210" w:lineRule="exact"/>
        <w:rPr>
          <w:rFonts w:ascii="Arial" w:cs="Arial" w:eastAsia="Arial" w:hAnsi="Arial"/>
          <w:sz w:val="16"/>
          <w:szCs w:val="16"/>
          <w:color w:val="010000"/>
        </w:rPr>
      </w:pPr>
    </w:p>
    <w:p>
      <w:pPr>
        <w:jc w:val="both"/>
        <w:ind w:firstLine="1304"/>
        <w:spacing w:after="0" w:line="263" w:lineRule="auto"/>
        <w:tabs>
          <w:tab w:leader="none" w:pos="2281"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prior to or concurrently with (in the normal sequence of aviation transactions) the making of the requested Revolving Loan, such Whole Aircraft or Whole Engine shall otherwise meet the criteria set forth in the definition of “Eligible Whole Aircraft Collateral”, “Eligible Off-Lease Whole Engine Collateral” or “Eligible Whole Engine Collateral”, as applicable; and</w:t>
      </w:r>
    </w:p>
    <w:p>
      <w:pPr>
        <w:spacing w:after="0" w:line="183" w:lineRule="exact"/>
        <w:rPr>
          <w:rFonts w:ascii="Arial" w:cs="Arial" w:eastAsia="Arial" w:hAnsi="Arial"/>
          <w:sz w:val="18"/>
          <w:szCs w:val="18"/>
          <w:color w:val="010000"/>
        </w:rPr>
      </w:pPr>
    </w:p>
    <w:p>
      <w:pPr>
        <w:jc w:val="both"/>
        <w:ind w:firstLine="1304"/>
        <w:spacing w:after="0" w:line="259" w:lineRule="auto"/>
        <w:tabs>
          <w:tab w:leader="none" w:pos="2252"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 xml:space="preserve">immediately prior to the making of the requested Revolving Loan, Borrowers shall have executed and delivered to Agent an additional Borrowing Base Certificate with accompanying certification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which certificate shall be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giving effect to such acquisition. The foregoing requirement shall be in addition to and not affect the obligations of Borrowers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hereof.</w:t>
      </w:r>
    </w:p>
    <w:p>
      <w:pPr>
        <w:spacing w:after="0" w:line="18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010000"/>
        </w:rPr>
        <w:t>2.3</w:t>
      </w:r>
      <w:r>
        <w:rPr>
          <w:sz w:val="20"/>
          <w:szCs w:val="20"/>
          <w:color w:val="auto"/>
        </w:rPr>
        <w:tab/>
      </w:r>
      <w:r>
        <w:rPr>
          <w:rFonts w:ascii="Arial" w:cs="Arial" w:eastAsia="Arial" w:hAnsi="Arial"/>
          <w:sz w:val="15"/>
          <w:szCs w:val="15"/>
          <w:b w:val="1"/>
          <w:bCs w:val="1"/>
          <w:u w:val="single" w:color="auto"/>
          <w:color w:val="auto"/>
        </w:rPr>
        <w:t>Borrowing Procedures and Settlements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71" w:lineRule="auto"/>
        <w:tabs>
          <w:tab w:leader="none" w:pos="2283" w:val="left"/>
        </w:tabs>
        <w:numPr>
          <w:ilvl w:val="0"/>
          <w:numId w:val="74"/>
        </w:numPr>
        <w:rPr>
          <w:rFonts w:ascii="Arial" w:cs="Arial" w:eastAsia="Arial" w:hAnsi="Arial"/>
          <w:sz w:val="17"/>
          <w:szCs w:val="17"/>
          <w:color w:val="010000"/>
        </w:rPr>
      </w:pPr>
      <w:r>
        <w:rPr>
          <w:rFonts w:ascii="Arial" w:cs="Arial" w:eastAsia="Arial" w:hAnsi="Arial"/>
          <w:sz w:val="17"/>
          <w:szCs w:val="17"/>
          <w:b w:val="1"/>
          <w:bCs w:val="1"/>
          <w:color w:val="auto"/>
        </w:rPr>
        <w:t>Procedure for Borrowing Revolving Loans</w:t>
      </w:r>
      <w:r>
        <w:rPr>
          <w:rFonts w:ascii="Arial" w:cs="Arial" w:eastAsia="Arial" w:hAnsi="Arial"/>
          <w:sz w:val="17"/>
          <w:szCs w:val="17"/>
          <w:color w:val="auto"/>
        </w:rPr>
        <w:t>. Each Borrowing shall be made by a written request by an Authorized Person</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to Agent (which may be delivered through Agent’s electronic platform or portal) and received by Agent no later than 11:00 a.m. (i) on the Business Day that is the requested Funding Date in the case of a request for a Swing Loan, (ii) on the Business Day that is one Business Day prior to the requested Funding Date in the case of a request for a Base Rate Loan, and (iii) on the Business Day that is three Business Days prior to the requested Funding Date in the case of all other requests, specifying (A) the amount of such Borrowing, and (B) the requested Funding Date (which shall be a Business Day); provided, that Agent may, in its sole discretion, elect to accept as timely requests that are received later than 11:00 a.m. on the applicable Business Day. All Borrowing requests which are not made on-line via Agent’s electronic platform or portal shall be subject to (and unless Agent elects otherwise in the exercise of its sole discretion, such Borrowings shall not be made until the completion of) Agent’s authentication process (with results satisfactory to Agent) prior to the funding of any such requested Revolving Loan.</w:t>
      </w:r>
    </w:p>
    <w:p>
      <w:pPr>
        <w:spacing w:after="0" w:line="173" w:lineRule="exact"/>
        <w:rPr>
          <w:rFonts w:ascii="Arial" w:cs="Arial" w:eastAsia="Arial" w:hAnsi="Arial"/>
          <w:sz w:val="17"/>
          <w:szCs w:val="17"/>
          <w:color w:val="010000"/>
        </w:rPr>
      </w:pPr>
    </w:p>
    <w:p>
      <w:pPr>
        <w:jc w:val="both"/>
        <w:ind w:firstLine="1304"/>
        <w:spacing w:after="0" w:line="268" w:lineRule="auto"/>
        <w:tabs>
          <w:tab w:leader="none" w:pos="2320" w:val="left"/>
        </w:tabs>
        <w:numPr>
          <w:ilvl w:val="0"/>
          <w:numId w:val="74"/>
        </w:numPr>
        <w:rPr>
          <w:rFonts w:ascii="Arial" w:cs="Arial" w:eastAsia="Arial" w:hAnsi="Arial"/>
          <w:sz w:val="17"/>
          <w:szCs w:val="17"/>
          <w:color w:val="010000"/>
        </w:rPr>
      </w:pPr>
      <w:r>
        <w:rPr>
          <w:rFonts w:ascii="Arial" w:cs="Arial" w:eastAsia="Arial" w:hAnsi="Arial"/>
          <w:sz w:val="17"/>
          <w:szCs w:val="17"/>
          <w:b w:val="1"/>
          <w:bCs w:val="1"/>
          <w:color w:val="auto"/>
        </w:rPr>
        <w:t>Making of Swing Loans</w:t>
      </w:r>
      <w:r>
        <w:rPr>
          <w:rFonts w:ascii="Arial" w:cs="Arial" w:eastAsia="Arial" w:hAnsi="Arial"/>
          <w:sz w:val="17"/>
          <w:szCs w:val="17"/>
          <w:color w:val="auto"/>
        </w:rPr>
        <w:t>. In the case of a Revolving Loan and so long as any of (i) the aggregate amount of Swing Loans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made since the last Settlement Date,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all payments or other amounts applied to Swing Loans since the last Settlement Date,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the amount of the requested Swing Loan does not exceed $10,000,000, or (ii) Swing Lender, in its sole discretion, agrees to make a Swing Loan notwithstanding the foregoing limitation, Swing Lender shall make a Revolving Loan (any such Revolving Loan made by Swing Lender pursuant to this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being referred to as a “</w:t>
      </w:r>
      <w:r>
        <w:rPr>
          <w:rFonts w:ascii="Arial" w:cs="Arial" w:eastAsia="Arial" w:hAnsi="Arial"/>
          <w:sz w:val="17"/>
          <w:szCs w:val="17"/>
          <w:u w:val="single" w:color="auto"/>
          <w:color w:val="auto"/>
        </w:rPr>
        <w:t>Swing Loan</w:t>
      </w:r>
      <w:r>
        <w:rPr>
          <w:rFonts w:ascii="Arial" w:cs="Arial" w:eastAsia="Arial" w:hAnsi="Arial"/>
          <w:sz w:val="17"/>
          <w:szCs w:val="17"/>
          <w:color w:val="auto"/>
        </w:rPr>
        <w:t>” and all such Revolving Loans being referred to as “</w:t>
      </w:r>
      <w:r>
        <w:rPr>
          <w:rFonts w:ascii="Arial" w:cs="Arial" w:eastAsia="Arial" w:hAnsi="Arial"/>
          <w:sz w:val="17"/>
          <w:szCs w:val="17"/>
          <w:u w:val="single" w:color="auto"/>
          <w:color w:val="auto"/>
        </w:rPr>
        <w:t>Swing Loans</w:t>
      </w:r>
      <w:r>
        <w:rPr>
          <w:rFonts w:ascii="Arial" w:cs="Arial" w:eastAsia="Arial" w:hAnsi="Arial"/>
          <w:sz w:val="17"/>
          <w:szCs w:val="17"/>
          <w:color w:val="auto"/>
        </w:rPr>
        <w:t xml:space="preserve">”) available to Borrowers on the Funding Date applicable thereto by transferring immediately available funds in the amount of such Borrowing to the Designated Account. Each Swing Loan shall be deemed to be a Revolving Loan hereunder and shall be subject to all the terms and conditions (including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applicable to other Revolving Loans, except that all payments (including interest) on any Swing Loan shall be payable to Swing Lender solely for its own account. Subject to the provisions of </w:t>
      </w:r>
      <w:r>
        <w:rPr>
          <w:rFonts w:ascii="Arial" w:cs="Arial" w:eastAsia="Arial" w:hAnsi="Arial"/>
          <w:sz w:val="17"/>
          <w:szCs w:val="17"/>
          <w:u w:val="single" w:color="auto"/>
          <w:color w:val="auto"/>
        </w:rPr>
        <w:t>Section 2.3(d)</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Swing Lender shall not make and shall not be obligated to make any Swing Loan if Swing Lender has actual knowledge that (i) one or more of the applicable conditions precedent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will not be satisfied on the requested Funding Date for the applicable Borrowing, or (ii) the requested Borrowing would exceed the Availability on such Funding Date. Swing Lender shall not otherwise be required to determine whether the applicable conditions precedent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have been satisfied on the Funding Date applicable thereto prior to making any Swing Loan. The Swing Loans shall be secured by Agent’s Liens, constitute Revolving Loans and Obligations, and bear interest at the rate applicable from time to time to Revolving Loans that are Base Rate Loans.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ind w:left="2220" w:hanging="916"/>
        <w:spacing w:after="0"/>
        <w:tabs>
          <w:tab w:leader="none" w:pos="2220" w:val="left"/>
        </w:tabs>
        <w:numPr>
          <w:ilvl w:val="0"/>
          <w:numId w:val="75"/>
        </w:numPr>
        <w:rPr>
          <w:rFonts w:ascii="Arial" w:cs="Arial" w:eastAsia="Arial" w:hAnsi="Arial"/>
          <w:sz w:val="18"/>
          <w:szCs w:val="18"/>
          <w:color w:val="010000"/>
        </w:rPr>
      </w:pPr>
      <w:r>
        <w:rPr>
          <w:rFonts w:ascii="Arial" w:cs="Arial" w:eastAsia="Arial" w:hAnsi="Arial"/>
          <w:sz w:val="18"/>
          <w:szCs w:val="18"/>
          <w:b w:val="1"/>
          <w:bCs w:val="1"/>
          <w:color w:val="auto"/>
        </w:rPr>
        <w:t>Making of Revolving Loans</w:t>
      </w:r>
      <w:r>
        <w:rPr>
          <w:rFonts w:ascii="Arial" w:cs="Arial" w:eastAsia="Arial" w:hAnsi="Arial"/>
          <w:sz w:val="18"/>
          <w:szCs w:val="18"/>
          <w:color w:val="auto"/>
        </w:rPr>
        <w:t>.</w:t>
      </w:r>
    </w:p>
    <w:p>
      <w:pPr>
        <w:spacing w:after="0" w:line="229" w:lineRule="exact"/>
        <w:rPr>
          <w:rFonts w:ascii="Arial" w:cs="Arial" w:eastAsia="Arial" w:hAnsi="Arial"/>
          <w:sz w:val="18"/>
          <w:szCs w:val="18"/>
          <w:color w:val="010000"/>
        </w:rPr>
      </w:pPr>
    </w:p>
    <w:p>
      <w:pPr>
        <w:jc w:val="both"/>
        <w:ind w:firstLine="1952"/>
        <w:spacing w:after="0" w:line="269" w:lineRule="auto"/>
        <w:tabs>
          <w:tab w:leader="none" w:pos="3202" w:val="left"/>
        </w:tabs>
        <w:numPr>
          <w:ilvl w:val="1"/>
          <w:numId w:val="75"/>
        </w:numPr>
        <w:rPr>
          <w:rFonts w:ascii="Arial" w:cs="Arial" w:eastAsia="Arial" w:hAnsi="Arial"/>
          <w:sz w:val="17"/>
          <w:szCs w:val="17"/>
          <w:color w:val="auto"/>
        </w:rPr>
      </w:pPr>
      <w:r>
        <w:rPr>
          <w:rFonts w:ascii="Arial" w:cs="Arial" w:eastAsia="Arial" w:hAnsi="Arial"/>
          <w:sz w:val="17"/>
          <w:szCs w:val="17"/>
          <w:color w:val="auto"/>
        </w:rPr>
        <w:t xml:space="preserve">In the event that Swing Lender is not obligated to make a Swing Loan, then after receipt of a request for a Borrowing pursuant to </w:t>
      </w:r>
      <w:r>
        <w:rPr>
          <w:rFonts w:ascii="Arial" w:cs="Arial" w:eastAsia="Arial" w:hAnsi="Arial"/>
          <w:sz w:val="17"/>
          <w:szCs w:val="17"/>
          <w:u w:val="single" w:color="auto"/>
          <w:color w:val="auto"/>
        </w:rPr>
        <w:t>Section 2.3(a)(i)</w:t>
      </w:r>
      <w:r>
        <w:rPr>
          <w:rFonts w:ascii="Arial" w:cs="Arial" w:eastAsia="Arial" w:hAnsi="Arial"/>
          <w:sz w:val="17"/>
          <w:szCs w:val="17"/>
          <w:color w:val="auto"/>
        </w:rPr>
        <w:t xml:space="preserve">, Agent shall notify the Lenders by telecopy, telephone, email, or other electronic form of transmission, of the requested Borrowing; such notification to be sent on the Business Day that is (A) in the case of a Base Rate Loan, at least one Business Day prior to the requested Funding Date, or (B) in the case of a LIBOR Rate Loan, prior to 11:00 a.m. at least three Business Days prior to the requested Funding Date. If Agent has notified the Lenders of a requested Borrowing on the Business Day that is one Business Day prior to the Funding Date, then each Lender shall make the amount of such Lender’s Pro Rata Share of the requested Borrowing available to Agent in immediately available funds, to Agent’s Account, not later than 10:00 a.m. on the Business Day that is the requested Funding Date. After Agent’s receipt of the proceeds of such Revolving Loans from the Lenders, Agent shall make the proceeds thereof available to Borrowers on the applicable Funding Date by transferring immediately available funds equal to such proceeds received by Agent to the Designated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the provisions of </w:t>
      </w:r>
      <w:r>
        <w:rPr>
          <w:rFonts w:ascii="Arial" w:cs="Arial" w:eastAsia="Arial" w:hAnsi="Arial"/>
          <w:sz w:val="17"/>
          <w:szCs w:val="17"/>
          <w:u w:val="single" w:color="auto"/>
          <w:color w:val="auto"/>
        </w:rPr>
        <w:t>Section 2.3(d)(ii)</w:t>
      </w:r>
      <w:r>
        <w:rPr>
          <w:rFonts w:ascii="Arial" w:cs="Arial" w:eastAsia="Arial" w:hAnsi="Arial"/>
          <w:sz w:val="17"/>
          <w:szCs w:val="17"/>
          <w:color w:val="auto"/>
        </w:rPr>
        <w:t xml:space="preserve">, no Lender shall have an obligation to make any Revolving Loan, if (1) one or more of the applicable conditions precedent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will not be satisfied on the requested Funding Date for the applicable Borrowing unless such condition has been waived, or (2) the requested Borrowing would exceed the Availability on such Funding Date.</w:t>
      </w:r>
    </w:p>
    <w:p>
      <w:pPr>
        <w:spacing w:after="0" w:line="178" w:lineRule="exact"/>
        <w:rPr>
          <w:rFonts w:ascii="Arial" w:cs="Arial" w:eastAsia="Arial" w:hAnsi="Arial"/>
          <w:sz w:val="17"/>
          <w:szCs w:val="17"/>
          <w:color w:val="auto"/>
        </w:rPr>
      </w:pPr>
    </w:p>
    <w:p>
      <w:pPr>
        <w:jc w:val="both"/>
        <w:ind w:firstLine="1952"/>
        <w:spacing w:after="0" w:line="285" w:lineRule="auto"/>
        <w:tabs>
          <w:tab w:leader="none" w:pos="29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Unless Agent receives notice from a Lender prior to 9:30 a.m. on the Business Day that is the requested Funding Date relative to a requested Borrowing as to which Agent has notified the Lenders of a requested Borrowing that such Lender will not make available as and when required hereunder to Agent for the account of Borrowers the amount of that Lender’s Pro Rata Share of the Borrowing, Agent may assume that each Lender has made or will make such amount available to Agent in immediately available funds on the Funding Date and Agent may (but shall not be so required), in reliance upon such assumption, make available to Borrowers a corresponding amount. If, on the requested Funding Date, any Lender shall not have remitted the full amount that it is required to make available to Agent in immediately available funds and if Agent has made available to Borrowers such amount on the requested Funding Date, then such Lender shall make the amount of such Lender’s Pro Rata Share of the requested Borrowing available to Agent in immediately available funds, to Agent’s Account, no later than 10:00 a.m. on the Business Day that is the first Business Day after the requested Funding Date (in which case, the interest accrued on such Lender’s portion of such Borrowing for the Funding Date shall be for Agent’s separate account). If any Lender shall not remit the full amount that it is required to make available to Agent in immediately available funds as and when required hereby and if Agent has made available to Borrowers such amount, then that Lender shall be obligated to immediately remit such amount to Agent, together with interest at the Defaulting Lender Rate for each day until the date on which such amount is so remitted. A notice submitted by Agent to any Lender with respect to amounts owing under this </w:t>
      </w:r>
      <w:r>
        <w:rPr>
          <w:rFonts w:ascii="Arial" w:cs="Arial" w:eastAsia="Arial" w:hAnsi="Arial"/>
          <w:sz w:val="16"/>
          <w:szCs w:val="16"/>
          <w:u w:val="single" w:color="auto"/>
          <w:color w:val="auto"/>
        </w:rPr>
        <w:t>Section 2.3(c)(ii)</w:t>
      </w:r>
      <w:r>
        <w:rPr>
          <w:rFonts w:ascii="Arial" w:cs="Arial" w:eastAsia="Arial" w:hAnsi="Arial"/>
          <w:sz w:val="16"/>
          <w:szCs w:val="16"/>
          <w:color w:val="auto"/>
        </w:rPr>
        <w:t xml:space="preserve"> shall be conclusive, absent manifest error. If the amount that a Lender is required to remit is made available to Agent, then such payment to Agent shall constitute such Lender’s Revolving Loan for all purposes of this Agreement. If such amount is not made available to Agent on the Business Day following the Funding Date, Agent will notify Administrative Borrower of such failure to fund and, upon demand by Agent, Borrowers shall pay such amount to Agent for Agent’s account, together with interest thereon for each day elapsed since the date of such Borrowing, at a rate per annum equal to the interest rate applicable at the time to the Revolving Loans composing such Borrowing.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ind w:left="2240" w:hanging="936"/>
        <w:spacing w:after="0"/>
        <w:tabs>
          <w:tab w:leader="none" w:pos="2240" w:val="left"/>
        </w:tabs>
        <w:numPr>
          <w:ilvl w:val="0"/>
          <w:numId w:val="76"/>
        </w:numPr>
        <w:rPr>
          <w:rFonts w:ascii="Arial" w:cs="Arial" w:eastAsia="Arial" w:hAnsi="Arial"/>
          <w:sz w:val="18"/>
          <w:szCs w:val="18"/>
          <w:color w:val="010000"/>
        </w:rPr>
      </w:pPr>
      <w:r>
        <w:rPr>
          <w:rFonts w:ascii="Arial" w:cs="Arial" w:eastAsia="Arial" w:hAnsi="Arial"/>
          <w:sz w:val="18"/>
          <w:szCs w:val="18"/>
          <w:b w:val="1"/>
          <w:bCs w:val="1"/>
          <w:color w:val="auto"/>
        </w:rPr>
        <w:t>Protective Advances and Optional Overadvances</w:t>
      </w:r>
      <w:r>
        <w:rPr>
          <w:rFonts w:ascii="Arial" w:cs="Arial" w:eastAsia="Arial" w:hAnsi="Arial"/>
          <w:sz w:val="18"/>
          <w:szCs w:val="18"/>
          <w:color w:val="auto"/>
        </w:rPr>
        <w:t>.</w:t>
      </w:r>
    </w:p>
    <w:p>
      <w:pPr>
        <w:spacing w:after="0" w:line="229" w:lineRule="exact"/>
        <w:rPr>
          <w:rFonts w:ascii="Arial" w:cs="Arial" w:eastAsia="Arial" w:hAnsi="Arial"/>
          <w:sz w:val="18"/>
          <w:szCs w:val="18"/>
          <w:color w:val="010000"/>
        </w:rPr>
      </w:pPr>
    </w:p>
    <w:p>
      <w:pPr>
        <w:jc w:val="both"/>
        <w:ind w:firstLine="1952"/>
        <w:spacing w:after="0" w:line="293" w:lineRule="auto"/>
        <w:tabs>
          <w:tab w:leader="none" w:pos="3054"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Any contrary provision of this Agreement or any other Loan Document notwithstanding (but subject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2.3(d)(iv)</w:t>
      </w:r>
      <w:r>
        <w:rPr>
          <w:rFonts w:ascii="Arial" w:cs="Arial" w:eastAsia="Arial" w:hAnsi="Arial"/>
          <w:sz w:val="16"/>
          <w:szCs w:val="16"/>
          <w:color w:val="auto"/>
        </w:rPr>
        <w:t xml:space="preserve">), at any time (A) after the occurrence and during the continuance of a Default or an Event of Default, or (B) that any of the other applicable conditions precedent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are not satisfied, Agent hereby is authorized by Borrowers and the Lenders, from time to time, in Agent’s sole discretion, to make Revolving Loans to, or for the benefit of, Borrowers, on behalf of the Revolving Lenders, that Agent, in its Permitted Discretion, deems necessary or desirable (1) to preserve or protect the Collateral, or any portion thereof, or (2) to enhance the likelihood of repayment of the Obligations (other than the Bank Product Obligations) (the Revolving Loans described in this </w:t>
      </w:r>
      <w:r>
        <w:rPr>
          <w:rFonts w:ascii="Arial" w:cs="Arial" w:eastAsia="Arial" w:hAnsi="Arial"/>
          <w:sz w:val="16"/>
          <w:szCs w:val="16"/>
          <w:u w:val="single" w:color="auto"/>
          <w:color w:val="auto"/>
        </w:rPr>
        <w:t>Section 2.3(d)(i)</w:t>
      </w:r>
      <w:r>
        <w:rPr>
          <w:rFonts w:ascii="Arial" w:cs="Arial" w:eastAsia="Arial" w:hAnsi="Arial"/>
          <w:sz w:val="16"/>
          <w:szCs w:val="16"/>
          <w:color w:val="auto"/>
        </w:rPr>
        <w:t xml:space="preserve"> shall be referred to as “</w:t>
      </w:r>
      <w:r>
        <w:rPr>
          <w:rFonts w:ascii="Arial" w:cs="Arial" w:eastAsia="Arial" w:hAnsi="Arial"/>
          <w:sz w:val="16"/>
          <w:szCs w:val="16"/>
          <w:u w:val="single" w:color="auto"/>
          <w:color w:val="auto"/>
        </w:rPr>
        <w:t>Protective Advances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firstLine="1952"/>
        <w:spacing w:after="0" w:line="268" w:lineRule="auto"/>
        <w:tabs>
          <w:tab w:leader="none" w:pos="3122"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Any contrary provision of this Agreement or any other Loan Document notwithstanding, the Lenders hereby authorize Agent or Swing Lender, as applicable, and either Agent or Swing Lender, as applicable, may, but is not obligated to, knowingly and intentionally, continue to make Revolving Loans (including Swing Loans) to Borrowers notwithstanding that an Overadvance exists or would be created thereby, so long as (A) after giving effect to such Revolving Loans, the outstanding Revolver Usage does not exceed the Borrowing Base by more than 10% of the Borrowing Base, and (B) subject to </w:t>
      </w:r>
      <w:r>
        <w:rPr>
          <w:rFonts w:ascii="Arial" w:cs="Arial" w:eastAsia="Arial" w:hAnsi="Arial"/>
          <w:sz w:val="17"/>
          <w:szCs w:val="17"/>
          <w:u w:val="single" w:color="auto"/>
          <w:color w:val="auto"/>
        </w:rPr>
        <w:t>Section 2.3(d)(iv)</w:t>
      </w:r>
      <w:r>
        <w:rPr>
          <w:rFonts w:ascii="Arial" w:cs="Arial" w:eastAsia="Arial" w:hAnsi="Arial"/>
          <w:sz w:val="17"/>
          <w:szCs w:val="17"/>
          <w:color w:val="auto"/>
        </w:rPr>
        <w:t xml:space="preserve"> below, after giving effect to such Revolving Loans, the outstanding Revolver Usage (except for and excluding amounts charged to the Loan Account for interest, fees, or Lender Group Expenses) does not exceed the Maximum Revolver Amount. In the event Agent obtains actual knowledge that the Revolver Usage exceeds the amounts permitted by this </w:t>
      </w:r>
      <w:r>
        <w:rPr>
          <w:rFonts w:ascii="Arial" w:cs="Arial" w:eastAsia="Arial" w:hAnsi="Arial"/>
          <w:sz w:val="17"/>
          <w:szCs w:val="17"/>
          <w:u w:val="single" w:color="auto"/>
          <w:color w:val="auto"/>
        </w:rPr>
        <w:t>Section 2.3(d)</w:t>
      </w:r>
      <w:r>
        <w:rPr>
          <w:rFonts w:ascii="Arial" w:cs="Arial" w:eastAsia="Arial" w:hAnsi="Arial"/>
          <w:sz w:val="17"/>
          <w:szCs w:val="17"/>
          <w:color w:val="auto"/>
        </w:rPr>
        <w:t xml:space="preserve">, regardless of the amount of, or reason for, such excess, Agent shall notify the Lenders as soon as practicable (and prior to making any (or any additional) intentional Overadvances (except for and excluding amounts charged to the Loan Account for interest, fees, or Lender Group Expenses) unless Agent determines that prior notice would result in imminent harm to the Collateral or its value, in which case Agent may make such Overadvances and provide notice as promptly as practicable thereafter), and the Lenders with Revolver Commitments thereupon shall, together with Agent, jointly determine the terms of arrangements that shall be implemented with Borrowers intended to reduce, within a reasonable time, the outstanding principal amount of the Revolving Loans to Borrowers to an amount permitted by the preceding sentence. In such circumstances, if any Lender with a Revolver Commitment objects to the proposed terms of reduction or repayment of any Overadvance, the terms of reduction or repayment thereof shall be implemented according to the determination of the Required Lenders. The foregoing provisions are meant for the benefit of the Lenders and Agent and are not meant for the benefit of Borrowers, which shall continue to be bound by the provisions of </w:t>
      </w:r>
      <w:r>
        <w:rPr>
          <w:rFonts w:ascii="Arial" w:cs="Arial" w:eastAsia="Arial" w:hAnsi="Arial"/>
          <w:sz w:val="17"/>
          <w:szCs w:val="17"/>
          <w:u w:val="single" w:color="auto"/>
          <w:color w:val="auto"/>
        </w:rPr>
        <w:t>Section 2.4(e)(i)</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jc w:val="both"/>
        <w:ind w:firstLine="1952"/>
        <w:spacing w:after="0" w:line="291" w:lineRule="auto"/>
        <w:tabs>
          <w:tab w:leader="none" w:pos="3055" w:val="left"/>
        </w:tabs>
        <w:numPr>
          <w:ilvl w:val="1"/>
          <w:numId w:val="76"/>
        </w:numPr>
        <w:rPr>
          <w:rFonts w:ascii="Arial" w:cs="Arial" w:eastAsia="Arial" w:hAnsi="Arial"/>
          <w:sz w:val="16"/>
          <w:szCs w:val="16"/>
          <w:color w:val="auto"/>
        </w:rPr>
      </w:pPr>
      <w:r>
        <w:rPr>
          <w:rFonts w:ascii="Arial" w:cs="Arial" w:eastAsia="Arial" w:hAnsi="Arial"/>
          <w:sz w:val="16"/>
          <w:szCs w:val="16"/>
          <w:color w:val="auto"/>
        </w:rPr>
        <w:t>Each Protective Advance and each Overadvance (each, an “</w:t>
      </w:r>
      <w:r>
        <w:rPr>
          <w:rFonts w:ascii="Arial" w:cs="Arial" w:eastAsia="Arial" w:hAnsi="Arial"/>
          <w:sz w:val="16"/>
          <w:szCs w:val="16"/>
          <w:u w:val="single" w:color="auto"/>
          <w:color w:val="auto"/>
        </w:rPr>
        <w:t>Extraordinary Advance</w:t>
      </w:r>
      <w:r>
        <w:rPr>
          <w:rFonts w:ascii="Arial" w:cs="Arial" w:eastAsia="Arial" w:hAnsi="Arial"/>
          <w:sz w:val="16"/>
          <w:szCs w:val="16"/>
          <w:color w:val="auto"/>
        </w:rPr>
        <w:t xml:space="preserve">”) shall be deemed to be a Revolving Loan hereunder, except that no Extraordinary Advance shall be eligible to be a LIBOR Rate Loan. Prior to Settlement of any Extraordinary Advance, all payments with respect thereto, including interest thereon, shall be payable to Agent solely for its own account. Each Revolving Lender shall be obligated to settle with Agent as provided in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2.3(g)</w:t>
      </w:r>
      <w:r>
        <w:rPr>
          <w:rFonts w:ascii="Arial" w:cs="Arial" w:eastAsia="Arial" w:hAnsi="Arial"/>
          <w:sz w:val="16"/>
          <w:szCs w:val="16"/>
          <w:color w:val="auto"/>
        </w:rPr>
        <w:t xml:space="preserve">, as applicable) for the amount of such Lender’s Pro Rata Share of any Extraordinary Advance. The Extraordinary Advances shall be repayable on demand, secured by Agent’s Liens, constitute Obligations hereunder, and bear interest at the rate applicable from time to time to Revolving Loans that are Base Rate Loans. The provisions of this </w:t>
      </w:r>
      <w:r>
        <w:rPr>
          <w:rFonts w:ascii="Arial" w:cs="Arial" w:eastAsia="Arial" w:hAnsi="Arial"/>
          <w:sz w:val="16"/>
          <w:szCs w:val="16"/>
          <w:u w:val="single" w:color="auto"/>
          <w:color w:val="auto"/>
        </w:rPr>
        <w:t>Section 2.3(d)</w:t>
      </w:r>
      <w:r>
        <w:rPr>
          <w:rFonts w:ascii="Arial" w:cs="Arial" w:eastAsia="Arial" w:hAnsi="Arial"/>
          <w:sz w:val="16"/>
          <w:szCs w:val="16"/>
          <w:color w:val="auto"/>
        </w:rPr>
        <w:t xml:space="preserve"> are for the exclusive benefit of Agent, Swing Lender, and the Lenders and are not intended to benefit Borrowers (or any other Loan Party) in any way.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8" w:name="page179"/>
    <w:bookmarkEnd w:id="178"/>
    <w:p>
      <w:pPr>
        <w:jc w:val="both"/>
        <w:ind w:firstLine="1952"/>
        <w:spacing w:after="0" w:line="271" w:lineRule="auto"/>
        <w:tabs>
          <w:tab w:leader="none" w:pos="3306" w:val="left"/>
        </w:tabs>
        <w:numPr>
          <w:ilvl w:val="1"/>
          <w:numId w:val="77"/>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in this Agreement or any other Loan Document to the contrary, no Extraordinary Advance may be made by Agent if such Extraordinary Advance would cause the aggregate Revolver Usage to exceed the Maximum Revolver Amount or any Lender’s Pro Rata Share of the Revolver Usage to exceed such Lender’s Revolver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Agent may make Extraordinary Advances in excess of the foregoing limitations so long as such Extraordinary Advances that cause the aggregate Revolver Usage to exceed the Maximum Revolver Amount or a Lender’s Pro Rata Share of the Revolver Usage to exceed such Lender’s Revolver Commitments are for Agent’s sole and separate account and not for the account of any Lender. No Lender shall have an obligation to settle with Agent for such Extraordinary Advances that cause the aggregate Revolver Usage to exceed the Maximum Revolver Amount or a Lender’s Pro Rata Share of the Revolver Usage to exceed such Lender’s Revolver Commitments as provided in </w:t>
      </w:r>
      <w:r>
        <w:rPr>
          <w:rFonts w:ascii="Arial" w:cs="Arial" w:eastAsia="Arial" w:hAnsi="Arial"/>
          <w:sz w:val="17"/>
          <w:szCs w:val="17"/>
          <w:u w:val="single" w:color="auto"/>
          <w:color w:val="auto"/>
        </w:rPr>
        <w:t>Section 2.3(e)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2.3(g)</w:t>
      </w:r>
      <w:r>
        <w:rPr>
          <w:rFonts w:ascii="Arial" w:cs="Arial" w:eastAsia="Arial" w:hAnsi="Arial"/>
          <w:sz w:val="17"/>
          <w:szCs w:val="17"/>
          <w:color w:val="auto"/>
        </w:rPr>
        <w:t>, as applicable).</w:t>
      </w:r>
    </w:p>
    <w:p>
      <w:pPr>
        <w:spacing w:after="0" w:line="174" w:lineRule="exact"/>
        <w:rPr>
          <w:rFonts w:ascii="Arial" w:cs="Arial" w:eastAsia="Arial" w:hAnsi="Arial"/>
          <w:sz w:val="17"/>
          <w:szCs w:val="17"/>
          <w:color w:val="auto"/>
        </w:rPr>
      </w:pPr>
    </w:p>
    <w:p>
      <w:pPr>
        <w:jc w:val="both"/>
        <w:ind w:firstLine="1304"/>
        <w:spacing w:after="0" w:line="258" w:lineRule="auto"/>
        <w:tabs>
          <w:tab w:leader="none" w:pos="2242" w:val="left"/>
        </w:tabs>
        <w:numPr>
          <w:ilvl w:val="0"/>
          <w:numId w:val="78"/>
        </w:numPr>
        <w:rPr>
          <w:rFonts w:ascii="Arial" w:cs="Arial" w:eastAsia="Arial" w:hAnsi="Arial"/>
          <w:sz w:val="18"/>
          <w:szCs w:val="18"/>
          <w:color w:val="010000"/>
        </w:rPr>
      </w:pPr>
      <w:r>
        <w:rPr>
          <w:rFonts w:ascii="Arial" w:cs="Arial" w:eastAsia="Arial" w:hAnsi="Arial"/>
          <w:sz w:val="18"/>
          <w:szCs w:val="18"/>
          <w:b w:val="1"/>
          <w:bCs w:val="1"/>
          <w:color w:val="auto"/>
        </w:rPr>
        <w:t>Settlement</w:t>
      </w:r>
      <w:r>
        <w:rPr>
          <w:rFonts w:ascii="Arial" w:cs="Arial" w:eastAsia="Arial" w:hAnsi="Arial"/>
          <w:sz w:val="18"/>
          <w:szCs w:val="18"/>
          <w:color w:val="auto"/>
        </w:rPr>
        <w:t>. It is agreed that each Lender’s funded portion of the Revolving Loans is intended by the Lenders to equal, at all</w:t>
      </w:r>
      <w:r>
        <w:rPr>
          <w:rFonts w:ascii="Arial" w:cs="Arial" w:eastAsia="Arial" w:hAnsi="Arial"/>
          <w:sz w:val="18"/>
          <w:szCs w:val="18"/>
          <w:b w:val="1"/>
          <w:bCs w:val="1"/>
          <w:color w:val="auto"/>
        </w:rPr>
        <w:t xml:space="preserve"> </w:t>
      </w:r>
      <w:r>
        <w:rPr>
          <w:rFonts w:ascii="Arial" w:cs="Arial" w:eastAsia="Arial" w:hAnsi="Arial"/>
          <w:sz w:val="18"/>
          <w:szCs w:val="18"/>
          <w:color w:val="auto"/>
        </w:rPr>
        <w:t>times, such Lender’s Pro Rata Share of the outstanding Revolving Loans. Such agreement notwithstanding, Agent, Swing Lender, and the other Lenders agree (which agreement shall not be for the benefit of Borrowers) that in order to facilitate the administration of this Agreement and the other Loan Documents, settlement among the Lenders as to the Revolving Loans (including Swing Loans and Extraordinary Advances) shall take place on a periodic basis in accordance with the following provisions:</w:t>
      </w:r>
    </w:p>
    <w:p>
      <w:pPr>
        <w:spacing w:after="0" w:line="187" w:lineRule="exact"/>
        <w:rPr>
          <w:rFonts w:ascii="Arial" w:cs="Arial" w:eastAsia="Arial" w:hAnsi="Arial"/>
          <w:sz w:val="18"/>
          <w:szCs w:val="18"/>
          <w:color w:val="010000"/>
        </w:rPr>
      </w:pPr>
    </w:p>
    <w:p>
      <w:pPr>
        <w:jc w:val="both"/>
        <w:ind w:firstLine="1952"/>
        <w:spacing w:after="0" w:line="284" w:lineRule="auto"/>
        <w:tabs>
          <w:tab w:leader="none" w:pos="2919" w:val="left"/>
        </w:tabs>
        <w:numPr>
          <w:ilvl w:val="1"/>
          <w:numId w:val="78"/>
        </w:numPr>
        <w:rPr>
          <w:rFonts w:ascii="Arial" w:cs="Arial" w:eastAsia="Arial" w:hAnsi="Arial"/>
          <w:sz w:val="16"/>
          <w:szCs w:val="16"/>
          <w:color w:val="auto"/>
        </w:rPr>
      </w:pPr>
      <w:r>
        <w:rPr>
          <w:rFonts w:ascii="Arial" w:cs="Arial" w:eastAsia="Arial" w:hAnsi="Arial"/>
          <w:sz w:val="16"/>
          <w:szCs w:val="16"/>
          <w:color w:val="auto"/>
        </w:rPr>
        <w:t>Agent shall request settlement (“</w:t>
      </w:r>
      <w:r>
        <w:rPr>
          <w:rFonts w:ascii="Arial" w:cs="Arial" w:eastAsia="Arial" w:hAnsi="Arial"/>
          <w:sz w:val="16"/>
          <w:szCs w:val="16"/>
          <w:u w:val="single" w:color="auto"/>
          <w:color w:val="auto"/>
        </w:rPr>
        <w:t>Settlement</w:t>
      </w:r>
      <w:r>
        <w:rPr>
          <w:rFonts w:ascii="Arial" w:cs="Arial" w:eastAsia="Arial" w:hAnsi="Arial"/>
          <w:sz w:val="16"/>
          <w:szCs w:val="16"/>
          <w:color w:val="auto"/>
        </w:rPr>
        <w:t>”) with the Lenders on a weekly basis, or on a more frequent basis if so determined by Agent in its sole discretion (1) on behalf of Swing Lender, with respect to the outstanding Swing Loans, (2) for itself, with respect to the outstanding Extraordinary Advances, and (3) with respect to any Loan Party’s or any of their Subsidiaries’ payments or other amounts received, as to each by notifying the Lenders by telecopy, telephone, or other similar form of transmission, of such requested Settlement, no later than 2:00 p.m. on the Business Day immediately prior to the date of such requested Settlement (the date of such requested Settlement being the “</w:t>
      </w:r>
      <w:r>
        <w:rPr>
          <w:rFonts w:ascii="Arial" w:cs="Arial" w:eastAsia="Arial" w:hAnsi="Arial"/>
          <w:sz w:val="16"/>
          <w:szCs w:val="16"/>
          <w:u w:val="single" w:color="auto"/>
          <w:color w:val="auto"/>
        </w:rPr>
        <w:t>Settlement Date</w:t>
      </w:r>
      <w:r>
        <w:rPr>
          <w:rFonts w:ascii="Arial" w:cs="Arial" w:eastAsia="Arial" w:hAnsi="Arial"/>
          <w:sz w:val="16"/>
          <w:szCs w:val="16"/>
          <w:color w:val="auto"/>
        </w:rPr>
        <w:t xml:space="preserve">”). Such notice of a Settlement Date shall include a summary statement of the amount of outstanding Revolving Loans (including Swing Loans and Extraordinary Advances) for the period since the prior Settlement Date. Subject to the terms and conditions contained herein (including </w:t>
      </w:r>
      <w:r>
        <w:rPr>
          <w:rFonts w:ascii="Arial" w:cs="Arial" w:eastAsia="Arial" w:hAnsi="Arial"/>
          <w:sz w:val="16"/>
          <w:szCs w:val="16"/>
          <w:u w:val="single" w:color="auto"/>
          <w:color w:val="auto"/>
        </w:rPr>
        <w:t>Section 2.3(g)</w:t>
      </w:r>
      <w:r>
        <w:rPr>
          <w:rFonts w:ascii="Arial" w:cs="Arial" w:eastAsia="Arial" w:hAnsi="Arial"/>
          <w:sz w:val="16"/>
          <w:szCs w:val="16"/>
          <w:color w:val="auto"/>
        </w:rPr>
        <w:t>): (y) if the amount of the Revolving Loans (including Swing Loans and Extraordinary Advances) made by a Lender that is not a Defaulting Lender exceeds such Lender’s Pro Rata Share of the Revolving Loans (including Swing Loans and Extraordinary Advances) as of a Settlement Date, then Agent shall, by no later than 12:00 p.m. on the Settlement Date, transfer in immediately available funds to a Deposit Account of such Lender (as such Lender may designate), an amount such that each such Lender shall, upon receipt of such amount, have as of the Settlement Date, its Pro Rata Share of the Revolving Loans (including Swing Loans and Extraordinary Advances), and (z) if the amount of the Revolving Loans (including Swing Loans and Extraordinary Advances) made by a Lender is less than such Lender’s Pro Rata Share of the Revolving Loans (including Swing Loans and Extraordinary Advances) as of a Settlement Date, such Lender shall no later than 12:00 p.m. on the Settlement Date transfer in immediately available funds to Agent’s Account, an amount such that each such Lender shall, upon transfer of such amount, have as of the Settlement Date, its Pro Rata Share of the Revolving Loans (including Swing Loans and Extraordinary Advances). Such amounts made available to Agent under clause (z) of the immediately preceding sentence shall be applied against the amounts of the applicable Swing Loans or Extraordinary Advances and, together with the portion of such Swing Loans or Extraordinary Advances representing Swing Lender’s Pro Rata Share thereof, shall constitute Revolving Loans of such Lenders. If any such amount is not made available to Agent by any Lender on the Settlement Date applicable thereto to the extent required by the terms hereof, Agent shall be entitled to recover for its account such amount on demand from such Lender together with interest thereon at the Defaulting Lender Rate.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jc w:val="both"/>
        <w:ind w:firstLine="1952"/>
        <w:spacing w:after="0" w:line="301" w:lineRule="auto"/>
        <w:tabs>
          <w:tab w:leader="none" w:pos="3117" w:val="left"/>
        </w:tabs>
        <w:numPr>
          <w:ilvl w:val="1"/>
          <w:numId w:val="79"/>
        </w:numPr>
        <w:rPr>
          <w:rFonts w:ascii="Arial" w:cs="Arial" w:eastAsia="Arial" w:hAnsi="Arial"/>
          <w:sz w:val="16"/>
          <w:szCs w:val="16"/>
          <w:color w:val="auto"/>
        </w:rPr>
      </w:pPr>
      <w:r>
        <w:rPr>
          <w:rFonts w:ascii="Arial" w:cs="Arial" w:eastAsia="Arial" w:hAnsi="Arial"/>
          <w:sz w:val="16"/>
          <w:szCs w:val="16"/>
          <w:color w:val="auto"/>
        </w:rPr>
        <w:t>In determining whether a Lender’s balance of the Revolving Loans (including Swing Loans and Extraordinary Advances) is less than, equal to, or greater than such Lender’s Pro Rata Share of the Revolving Loans (including Swing Loans and Extraordinary Advances) as of a Settlement Date, Agent shall, as part of the relevant Settlement, apply to such balance the portion of payments actually received in good funds by Agent with respect to principal, interest, fees payable by Borrowers and allocable to the Lenders hereunder, and proceeds of Collateral.</w:t>
      </w:r>
    </w:p>
    <w:p>
      <w:pPr>
        <w:spacing w:after="0" w:line="157" w:lineRule="exact"/>
        <w:rPr>
          <w:rFonts w:ascii="Arial" w:cs="Arial" w:eastAsia="Arial" w:hAnsi="Arial"/>
          <w:sz w:val="16"/>
          <w:szCs w:val="16"/>
          <w:color w:val="auto"/>
        </w:rPr>
      </w:pPr>
    </w:p>
    <w:p>
      <w:pPr>
        <w:jc w:val="both"/>
        <w:ind w:firstLine="1952"/>
        <w:spacing w:after="0" w:line="286" w:lineRule="auto"/>
        <w:tabs>
          <w:tab w:leader="none" w:pos="2947"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Between Settlement Dates, Agent, to the extent Extraordinary Advances or Swing Loans are outstanding, may pay over to Agent or Swing Lender, as applicable, any payments or other amounts received by Agent, that in accordance with the terms of this Agreement would be applied to the reduction of the Revolving Loans, for application to the Extraordinary Advances or Swing Loans. Between Settlement Dates, Agent, to the extent no Extraordinary Advances or Swing Loans are outstanding, may pay over to Swing Lender any payments or other amounts received by Agent, that in accordance with the terms of this Agreement would be applied to the reduction of the Revolving Loans, for application to Swing Lender’s Pro Rata Share of the Revolving Loans. If, as of any Settlement Date, payments or other amounts of the Loan Parties or their Subsidiaries received since the then immediately preceding Settlement Date have been applied to Swing Lender’s Pro Rata Share of the Revolving Loans other than to Swing Loans, as provided for in the previous sentence, Swing Lender shall pay to Agent for the accounts of the Lenders, and Agent shall pay to the Lenders (other than a Defaulting Lender if Agent has implemented the provisions of </w:t>
      </w:r>
      <w:r>
        <w:rPr>
          <w:rFonts w:ascii="Arial" w:cs="Arial" w:eastAsia="Arial" w:hAnsi="Arial"/>
          <w:sz w:val="16"/>
          <w:szCs w:val="16"/>
          <w:u w:val="single" w:color="auto"/>
          <w:color w:val="auto"/>
        </w:rPr>
        <w:t>Section 2.3(g)</w:t>
      </w:r>
      <w:r>
        <w:rPr>
          <w:rFonts w:ascii="Arial" w:cs="Arial" w:eastAsia="Arial" w:hAnsi="Arial"/>
          <w:sz w:val="16"/>
          <w:szCs w:val="16"/>
          <w:color w:val="auto"/>
        </w:rPr>
        <w:t>), to be applied to the outstanding Revolving Loans of such Lenders, an amount such that each such Lender shall, upon receipt of such amount, have, as of such Settlement Date, its Pro Rata Share of the Revolving Loans. During the period between Settlement Dates, Swing Lender with respect to Swing Loans, Agent with respect to Extraordinary Advances, and each Lender with respect to the Revolving Loans other than Swing Loans and Extraordinary Advances, shall be entitled to interest at the applicable rate or rates payable under this Agreement on the daily amount of funds employed by Swing Lender, Agent, or the Lenders, as applicable.</w:t>
      </w:r>
    </w:p>
    <w:p>
      <w:pPr>
        <w:spacing w:after="0" w:line="173" w:lineRule="exact"/>
        <w:rPr>
          <w:rFonts w:ascii="Arial" w:cs="Arial" w:eastAsia="Arial" w:hAnsi="Arial"/>
          <w:sz w:val="16"/>
          <w:szCs w:val="16"/>
          <w:color w:val="auto"/>
        </w:rPr>
      </w:pPr>
    </w:p>
    <w:p>
      <w:pPr>
        <w:jc w:val="both"/>
        <w:ind w:firstLine="1952"/>
        <w:spacing w:after="0" w:line="263" w:lineRule="auto"/>
        <w:tabs>
          <w:tab w:leader="none" w:pos="2991"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Section 2.3(e)</w:t>
      </w:r>
      <w:r>
        <w:rPr>
          <w:rFonts w:ascii="Arial" w:cs="Arial" w:eastAsia="Arial" w:hAnsi="Arial"/>
          <w:sz w:val="18"/>
          <w:szCs w:val="18"/>
          <w:color w:val="auto"/>
        </w:rPr>
        <w:t xml:space="preserve"> to the contrary notwithstanding, in the event that a Lender is a Defaulting Lender, Agent shall be entitled to refrain from remitting settlement amounts to the Defaulting Lender and, instead, shall be entitled to elect to implement the provisions set forth in </w:t>
      </w:r>
      <w:r>
        <w:rPr>
          <w:rFonts w:ascii="Arial" w:cs="Arial" w:eastAsia="Arial" w:hAnsi="Arial"/>
          <w:sz w:val="18"/>
          <w:szCs w:val="18"/>
          <w:u w:val="single" w:color="auto"/>
          <w:color w:val="auto"/>
        </w:rPr>
        <w:t>Section 2.3(g)</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firstLine="1304"/>
        <w:spacing w:after="0" w:line="261" w:lineRule="auto"/>
        <w:tabs>
          <w:tab w:leader="none" w:pos="2308" w:val="left"/>
        </w:tabs>
        <w:numPr>
          <w:ilvl w:val="0"/>
          <w:numId w:val="80"/>
        </w:numPr>
        <w:rPr>
          <w:rFonts w:ascii="Arial" w:cs="Arial" w:eastAsia="Arial" w:hAnsi="Arial"/>
          <w:sz w:val="18"/>
          <w:szCs w:val="18"/>
          <w:color w:val="010000"/>
        </w:rPr>
      </w:pPr>
      <w:r>
        <w:rPr>
          <w:rFonts w:ascii="Arial" w:cs="Arial" w:eastAsia="Arial" w:hAnsi="Arial"/>
          <w:sz w:val="18"/>
          <w:szCs w:val="18"/>
          <w:b w:val="1"/>
          <w:bCs w:val="1"/>
          <w:color w:val="auto"/>
        </w:rPr>
        <w:t>Notation</w:t>
      </w:r>
      <w:r>
        <w:rPr>
          <w:rFonts w:ascii="Arial" w:cs="Arial" w:eastAsia="Arial" w:hAnsi="Arial"/>
          <w:sz w:val="18"/>
          <w:szCs w:val="18"/>
          <w:color w:val="auto"/>
        </w:rPr>
        <w:t>. Agent, as a non-fiduciary agent for Borrowers, shall maintain a register showing the principal amount and stated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of the Revolving Loans owing to each Lender, including the Swing Loans owing to Swing Lender, and Extraordinary Advances owing to Agent, and the interests therein of each Lender, from time to time and such register shall, absent manifest error, conclusively be presumed to be correct and accurate.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ind w:left="2240" w:hanging="936"/>
        <w:spacing w:after="0"/>
        <w:tabs>
          <w:tab w:leader="none" w:pos="2240" w:val="left"/>
        </w:tabs>
        <w:numPr>
          <w:ilvl w:val="1"/>
          <w:numId w:val="81"/>
        </w:numPr>
        <w:rPr>
          <w:rFonts w:ascii="Arial" w:cs="Arial" w:eastAsia="Arial" w:hAnsi="Arial"/>
          <w:sz w:val="18"/>
          <w:szCs w:val="18"/>
          <w:color w:val="010000"/>
        </w:rPr>
      </w:pPr>
      <w:r>
        <w:rPr>
          <w:rFonts w:ascii="Arial" w:cs="Arial" w:eastAsia="Arial" w:hAnsi="Arial"/>
          <w:sz w:val="18"/>
          <w:szCs w:val="18"/>
          <w:b w:val="1"/>
          <w:bCs w:val="1"/>
          <w:color w:val="auto"/>
        </w:rPr>
        <w:t>Defaulting Lenders</w:t>
      </w:r>
      <w:r>
        <w:rPr>
          <w:rFonts w:ascii="Arial" w:cs="Arial" w:eastAsia="Arial" w:hAnsi="Arial"/>
          <w:sz w:val="18"/>
          <w:szCs w:val="18"/>
          <w:color w:val="auto"/>
        </w:rPr>
        <w:t>.</w:t>
      </w:r>
    </w:p>
    <w:p>
      <w:pPr>
        <w:spacing w:after="0" w:line="229" w:lineRule="exact"/>
        <w:rPr>
          <w:rFonts w:ascii="Arial" w:cs="Arial" w:eastAsia="Arial" w:hAnsi="Arial"/>
          <w:sz w:val="18"/>
          <w:szCs w:val="18"/>
          <w:color w:val="010000"/>
        </w:rPr>
      </w:pPr>
    </w:p>
    <w:p>
      <w:pPr>
        <w:jc w:val="both"/>
        <w:ind w:firstLine="1952"/>
        <w:spacing w:after="0" w:line="285" w:lineRule="auto"/>
        <w:tabs>
          <w:tab w:leader="none" w:pos="3193" w:val="left"/>
        </w:tabs>
        <w:numPr>
          <w:ilvl w:val="2"/>
          <w:numId w:val="81"/>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2.4(b)(iii)</w:t>
      </w:r>
      <w:r>
        <w:rPr>
          <w:rFonts w:ascii="Arial" w:cs="Arial" w:eastAsia="Arial" w:hAnsi="Arial"/>
          <w:sz w:val="16"/>
          <w:szCs w:val="16"/>
          <w:color w:val="auto"/>
        </w:rPr>
        <w:t>, Agent shall not be obligated to transfer to a Defaulting Lender any payments made by Borrowers to Agent for the Defaulting Lender’s benefit or any proceeds of Collateral that would otherwise be remitted hereunder to the Defaulting Lender, and, in the absence of such transfer to the Defaulting Lender, Agent shall transfer any such payments (A) first, to Agent to the extent of any Extraordinary Advances that were made by Agent and that were required to be, but were not, paid by Defaulting Lender, (B) second, to Swing Lender to the extent of any Swing Loans that were made by Swing Lender and that were required to be, but were not, paid by the Defaulting Lender,</w:t>
      </w:r>
    </w:p>
    <w:p>
      <w:pPr>
        <w:spacing w:after="0" w:line="1" w:lineRule="exact"/>
        <w:rPr>
          <w:rFonts w:ascii="Arial" w:cs="Arial" w:eastAsia="Arial" w:hAnsi="Arial"/>
          <w:sz w:val="16"/>
          <w:szCs w:val="16"/>
          <w:color w:val="auto"/>
        </w:rPr>
      </w:pPr>
    </w:p>
    <w:p>
      <w:pPr>
        <w:jc w:val="both"/>
        <w:ind w:firstLine="8"/>
        <w:spacing w:after="0" w:line="283" w:lineRule="auto"/>
        <w:tabs>
          <w:tab w:leader="none" w:pos="304"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third, to Issuing Bank, to the extent of the portion of a Letter of Credit Disbursement that was required to be, but was not, paid by the Defaulting Lender, (D) fourth, to each Non-Defaulting Lender ratably in accordance with their Commitments (but, in each case, only to the extent that such Defaulting Lender’s portion of a Revolving Loan (or other funding obligation) was funded by such other Non-Defaulting Lender), (E) fifth, in Agent’s sole discretion, to a suspense account maintained by Agent, the proceeds of which shall be retained by Agent and may be made available to be re-advanced to or for the benefit of Borrowers (upon the request of Borrowers and subject to the conditions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as if such Defaulting Lender had made its portion of Revolving Loans (or other funding obligations) hereunder, and (F) sixth, from and after the date on which all other Obligations have been paid in full, to such Defaulting Lender in accordance with tier (L) of </w:t>
      </w:r>
      <w:r>
        <w:rPr>
          <w:rFonts w:ascii="Arial" w:cs="Arial" w:eastAsia="Arial" w:hAnsi="Arial"/>
          <w:sz w:val="16"/>
          <w:szCs w:val="16"/>
          <w:u w:val="single" w:color="auto"/>
          <w:color w:val="auto"/>
        </w:rPr>
        <w:t>Section 2.4(b)(iii)</w:t>
      </w:r>
      <w:r>
        <w:rPr>
          <w:rFonts w:ascii="Arial" w:cs="Arial" w:eastAsia="Arial" w:hAnsi="Arial"/>
          <w:sz w:val="16"/>
          <w:szCs w:val="16"/>
          <w:color w:val="auto"/>
        </w:rPr>
        <w:t xml:space="preserve">. Subject to the foregoing, Agent may hold and, in its discretion, re-lend to Borrowers for the account of such Defaulting Lender the amount of all such payments received and retained by Agent for the account of such Defaulting Lender. Solely for the purposes of voting or consenting to matters with respect to the Loan Documents (including the calculation of Pro Rata Share in connection therewith) and for the purpose of calculating the fee payable under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such Defaulting Lender shall be deemed not to be a “Lender” and such Lender’s Commitment shall be deemed to be zero;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any of the matters governed by </w:t>
      </w:r>
      <w:r>
        <w:rPr>
          <w:rFonts w:ascii="Arial" w:cs="Arial" w:eastAsia="Arial" w:hAnsi="Arial"/>
          <w:sz w:val="16"/>
          <w:szCs w:val="16"/>
          <w:u w:val="single" w:color="auto"/>
          <w:color w:val="auto"/>
        </w:rPr>
        <w:t>Section 14.1(a)(i)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2.3(g)</w:t>
      </w:r>
      <w:r>
        <w:rPr>
          <w:rFonts w:ascii="Arial" w:cs="Arial" w:eastAsia="Arial" w:hAnsi="Arial"/>
          <w:sz w:val="16"/>
          <w:szCs w:val="16"/>
          <w:color w:val="auto"/>
        </w:rPr>
        <w:t xml:space="preserve"> shall remain effective with respect to such Defaulting Lender until the earlier of (y) the date on which all of the Non-Defaulting Lenders, Agent, Issuing Bank, and Borrowers shall have waived, in writing, the application of this </w:t>
      </w:r>
      <w:r>
        <w:rPr>
          <w:rFonts w:ascii="Arial" w:cs="Arial" w:eastAsia="Arial" w:hAnsi="Arial"/>
          <w:sz w:val="16"/>
          <w:szCs w:val="16"/>
          <w:u w:val="single" w:color="auto"/>
          <w:color w:val="auto"/>
        </w:rPr>
        <w:t>Section 2.3(g)</w:t>
      </w:r>
      <w:r>
        <w:rPr>
          <w:rFonts w:ascii="Arial" w:cs="Arial" w:eastAsia="Arial" w:hAnsi="Arial"/>
          <w:sz w:val="16"/>
          <w:szCs w:val="16"/>
          <w:color w:val="auto"/>
        </w:rPr>
        <w:t xml:space="preserve"> to such Defaulting Lender, or (z) the date on which such Defaulting Lender makes payment of all amounts that it was obligated to fund hereunder, pays to Agent all amounts owing by Defaulting Lender in respect of the amounts that it was obligated to fund hereunder, and, if requested by Agent, provides adequate assurance of its ability to perform its future obligations hereunder (on which earlier date, so long as no Event of Default has occurred and is continuing, any remaining cash collateral held by Agent pursuant to </w:t>
      </w:r>
      <w:r>
        <w:rPr>
          <w:rFonts w:ascii="Arial" w:cs="Arial" w:eastAsia="Arial" w:hAnsi="Arial"/>
          <w:sz w:val="16"/>
          <w:szCs w:val="16"/>
          <w:u w:val="single" w:color="auto"/>
          <w:color w:val="auto"/>
        </w:rPr>
        <w:t>Section 2.3(g)(ii)</w:t>
      </w:r>
      <w:r>
        <w:rPr>
          <w:rFonts w:ascii="Arial" w:cs="Arial" w:eastAsia="Arial" w:hAnsi="Arial"/>
          <w:sz w:val="16"/>
          <w:szCs w:val="16"/>
          <w:color w:val="auto"/>
        </w:rPr>
        <w:t xml:space="preserve"> shall be released to Borrowers). The operation of this </w:t>
      </w:r>
      <w:r>
        <w:rPr>
          <w:rFonts w:ascii="Arial" w:cs="Arial" w:eastAsia="Arial" w:hAnsi="Arial"/>
          <w:sz w:val="16"/>
          <w:szCs w:val="16"/>
          <w:u w:val="single" w:color="auto"/>
          <w:color w:val="auto"/>
        </w:rPr>
        <w:t>Section 2.3(g)</w:t>
      </w:r>
      <w:r>
        <w:rPr>
          <w:rFonts w:ascii="Arial" w:cs="Arial" w:eastAsia="Arial" w:hAnsi="Arial"/>
          <w:sz w:val="16"/>
          <w:szCs w:val="16"/>
          <w:color w:val="auto"/>
        </w:rPr>
        <w:t xml:space="preserve"> shall not be construed to increase or otherwise affect the Commitment of any Lender, to relieve or excuse the performance by such Defaulting Lender or any other Lender of its duties and obligations hereunder, or to relieve or excuse the performance by any Borrower of its duties and obligations hereunder to Agent, Issuing Bank, or to the Lenders other than such Defaulting Lender. Any failure by a Defaulting Lender to fund amounts that it was obligated to fund hereunder shall constitute a material breach by such Defaulting Lender of this Agreement and shall entitle Borrowers, at their option, upon written notice to Agent, to arrange for a substitute Lender to assume the Commitment of such Defaulting Lender, such substitute Lender to be reasonably acceptable to Agent. In connection with the arrangement of such a substitute Lender, the Defaulting Lender shall have no right to refuse to be replaced hereunder, and agrees to execute and deliver a completed form of Assignment and Acceptance in favor of the substitute Lender (and agrees that it shall be deemed to have executed and delivered such document if it fails to do so) subject only to being paid its share of the outstanding Obligations (other than Bank Product Obligations, but including (1) all interest, fees, and other amounts that may be due and payable in respect thereof, and (2) an assumption of its Pro Rata Share of its participation in the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assumption of the Commitment of such Defaulting Lender shall not be deemed to constitute a waiver of any of the Lender Groups’ or Borrowers’ rights or remedies against any such Defaulting Lender arising out of or in relation to such failure to fund. In the event of a direct conflict between the priority provisions of this </w:t>
      </w:r>
      <w:r>
        <w:rPr>
          <w:rFonts w:ascii="Arial" w:cs="Arial" w:eastAsia="Arial" w:hAnsi="Arial"/>
          <w:sz w:val="16"/>
          <w:szCs w:val="16"/>
          <w:u w:val="single" w:color="auto"/>
          <w:color w:val="auto"/>
        </w:rPr>
        <w:t>Section 2.3(g)</w:t>
      </w:r>
      <w:r>
        <w:rPr>
          <w:rFonts w:ascii="Arial" w:cs="Arial" w:eastAsia="Arial" w:hAnsi="Arial"/>
          <w:sz w:val="16"/>
          <w:szCs w:val="16"/>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2.3(g)</w:t>
      </w:r>
      <w:r>
        <w:rPr>
          <w:rFonts w:ascii="Arial" w:cs="Arial" w:eastAsia="Arial" w:hAnsi="Arial"/>
          <w:sz w:val="16"/>
          <w:szCs w:val="16"/>
          <w:color w:val="auto"/>
        </w:rPr>
        <w:t xml:space="preserve"> shall control and govern.</w:t>
      </w:r>
    </w:p>
    <w:p>
      <w:pPr>
        <w:spacing w:after="0" w:line="388" w:lineRule="exact"/>
        <w:rPr>
          <w:rFonts w:ascii="Arial" w:cs="Arial" w:eastAsia="Arial" w:hAnsi="Arial"/>
          <w:sz w:val="16"/>
          <w:szCs w:val="16"/>
          <w:color w:val="auto"/>
        </w:rPr>
      </w:pPr>
    </w:p>
    <w:p>
      <w:pPr>
        <w:ind w:left="2840" w:hanging="888"/>
        <w:spacing w:after="0"/>
        <w:tabs>
          <w:tab w:leader="none" w:pos="2840" w:val="left"/>
        </w:tabs>
        <w:numPr>
          <w:ilvl w:val="2"/>
          <w:numId w:val="82"/>
        </w:numPr>
        <w:rPr>
          <w:rFonts w:ascii="Arial" w:cs="Arial" w:eastAsia="Arial" w:hAnsi="Arial"/>
          <w:sz w:val="16"/>
          <w:szCs w:val="16"/>
          <w:color w:val="auto"/>
        </w:rPr>
      </w:pPr>
      <w:r>
        <w:rPr>
          <w:rFonts w:ascii="Arial" w:cs="Arial" w:eastAsia="Arial" w:hAnsi="Arial"/>
          <w:sz w:val="16"/>
          <w:szCs w:val="16"/>
          <w:color w:val="auto"/>
        </w:rPr>
        <w:t>If any Swing Loan or Letter of Credit is outstanding at the time that a Lender becomes a Defaulting Lender then:</w:t>
      </w:r>
    </w:p>
    <w:p>
      <w:pPr>
        <w:spacing w:after="0" w:line="248" w:lineRule="exact"/>
        <w:rPr>
          <w:rFonts w:ascii="Arial" w:cs="Arial" w:eastAsia="Arial" w:hAnsi="Arial"/>
          <w:sz w:val="16"/>
          <w:szCs w:val="16"/>
          <w:color w:val="auto"/>
        </w:rPr>
      </w:pPr>
    </w:p>
    <w:p>
      <w:pPr>
        <w:jc w:val="both"/>
        <w:ind w:firstLine="2600"/>
        <w:spacing w:after="0" w:line="279" w:lineRule="auto"/>
        <w:tabs>
          <w:tab w:leader="none" w:pos="3212" w:val="left"/>
        </w:tabs>
        <w:numPr>
          <w:ilvl w:val="3"/>
          <w:numId w:val="82"/>
        </w:numPr>
        <w:rPr>
          <w:rFonts w:ascii="Arial" w:cs="Arial" w:eastAsia="Arial" w:hAnsi="Arial"/>
          <w:sz w:val="17"/>
          <w:szCs w:val="17"/>
          <w:color w:val="auto"/>
        </w:rPr>
      </w:pPr>
      <w:r>
        <w:rPr>
          <w:rFonts w:ascii="Arial" w:cs="Arial" w:eastAsia="Arial" w:hAnsi="Arial"/>
          <w:sz w:val="17"/>
          <w:szCs w:val="17"/>
          <w:color w:val="auto"/>
        </w:rPr>
        <w:t>such Defaulting Lender’s Swing Loan Exposure and Letter of Credit Exposure shall be reallocated among the Non-Defaulting Lenders in accordance with their respective Pro Rata Shares but only to the extent (x) the sum of all Non-Defaulting Lenders’ Pro Rata Share of Revolver Usage plus such Defaulting Lender’s Swing Loan Exposure and Letter of Credit Exposure does not exceed the total of all Non-Defaulting Lenders’ Revolver Commitments and (y) the conditions set forth in Section 3.2 are satisfied at such time;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both"/>
        <w:ind w:firstLine="2600"/>
        <w:spacing w:after="0" w:line="255" w:lineRule="auto"/>
        <w:tabs>
          <w:tab w:leader="none" w:pos="3286"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if the reallocation described in clause (A) above cannot, or can only partially, be effected, Borrowers shall within one Business Day following notice by Agent (x) first, prepay such Defaulting Lender’s Swing Loan Exposure (after giving effect to any partial reallocation pursuant to clause (A) above), and (y) second, cash collateralize such Defaulting Lender’s Letter of Credit Exposure (after giving effect to any partial reallocation pursuant to clause (A) above), pursuant to a cash collateral agreement to be entered into in form and substance reasonably satisfactory to Agent, for so long as such Letter of Credit Exposure is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that Borrowers shall not be obligated to cash collateralize any Defaulting Lender’s Letter of Credit Exposure if such Defaulting Lender is also Issuing Bank;</w:t>
      </w:r>
    </w:p>
    <w:p>
      <w:pPr>
        <w:spacing w:after="0" w:line="192" w:lineRule="exact"/>
        <w:rPr>
          <w:rFonts w:ascii="Arial" w:cs="Arial" w:eastAsia="Arial" w:hAnsi="Arial"/>
          <w:sz w:val="18"/>
          <w:szCs w:val="18"/>
          <w:color w:val="auto"/>
        </w:rPr>
      </w:pPr>
    </w:p>
    <w:p>
      <w:pPr>
        <w:jc w:val="both"/>
        <w:ind w:firstLine="2600"/>
        <w:spacing w:after="0" w:line="259" w:lineRule="auto"/>
        <w:tabs>
          <w:tab w:leader="none" w:pos="3211"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if Borrowers cash collateralize any portion of such Defaulting Lender’s Letter of Credit Exposure pursuant to this </w:t>
      </w:r>
      <w:r>
        <w:rPr>
          <w:rFonts w:ascii="Arial" w:cs="Arial" w:eastAsia="Arial" w:hAnsi="Arial"/>
          <w:sz w:val="18"/>
          <w:szCs w:val="18"/>
          <w:u w:val="single" w:color="auto"/>
          <w:color w:val="auto"/>
        </w:rPr>
        <w:t>Section 2.3(g)(ii)</w:t>
      </w:r>
      <w:r>
        <w:rPr>
          <w:rFonts w:ascii="Arial" w:cs="Arial" w:eastAsia="Arial" w:hAnsi="Arial"/>
          <w:sz w:val="18"/>
          <w:szCs w:val="18"/>
          <w:color w:val="auto"/>
        </w:rPr>
        <w:t xml:space="preserve">, Borrowers shall not be required to pay any Letter of Credit Fees to Agent for the account of such Defaulting Lender pursuant to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with respect to such cash collateralized portion of such Defaulting Lender’s Letter of Credit Exposure during the period such Letter of Credit Exposure is cash collateralized;</w:t>
      </w:r>
    </w:p>
    <w:p>
      <w:pPr>
        <w:spacing w:after="0" w:line="186" w:lineRule="exact"/>
        <w:rPr>
          <w:rFonts w:ascii="Arial" w:cs="Arial" w:eastAsia="Arial" w:hAnsi="Arial"/>
          <w:sz w:val="18"/>
          <w:szCs w:val="18"/>
          <w:color w:val="auto"/>
        </w:rPr>
      </w:pPr>
    </w:p>
    <w:p>
      <w:pPr>
        <w:jc w:val="both"/>
        <w:ind w:right="20" w:firstLine="2600"/>
        <w:spacing w:after="0" w:line="263" w:lineRule="auto"/>
        <w:tabs>
          <w:tab w:leader="none" w:pos="3161"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to the extent the Letter of Credit Exposure of the Non-Defaulting Lenders is reallocated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2.3(g)(ii)</w:t>
      </w:r>
      <w:r>
        <w:rPr>
          <w:rFonts w:ascii="Arial" w:cs="Arial" w:eastAsia="Arial" w:hAnsi="Arial"/>
          <w:sz w:val="18"/>
          <w:szCs w:val="18"/>
          <w:color w:val="auto"/>
        </w:rPr>
        <w:t xml:space="preserve">, then the Letter of Credit Fees payable to the Non-Defaulting Lenders pursuant to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shall be adjusted in accordance with such Non-Defaulting Lenders’ Letter of Credit Exposure;</w:t>
      </w:r>
    </w:p>
    <w:p>
      <w:pPr>
        <w:spacing w:after="0" w:line="183" w:lineRule="exact"/>
        <w:rPr>
          <w:rFonts w:ascii="Arial" w:cs="Arial" w:eastAsia="Arial" w:hAnsi="Arial"/>
          <w:sz w:val="18"/>
          <w:szCs w:val="18"/>
          <w:color w:val="auto"/>
        </w:rPr>
      </w:pPr>
    </w:p>
    <w:p>
      <w:pPr>
        <w:jc w:val="both"/>
        <w:ind w:firstLine="2600"/>
        <w:spacing w:after="0" w:line="301" w:lineRule="auto"/>
        <w:tabs>
          <w:tab w:leader="none" w:pos="3231"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to the extent any Defaulting Lender’s Letter of Credit Exposure is neither cash collateralized nor reallocated pursuant to this </w:t>
      </w:r>
      <w:r>
        <w:rPr>
          <w:rFonts w:ascii="Arial" w:cs="Arial" w:eastAsia="Arial" w:hAnsi="Arial"/>
          <w:sz w:val="16"/>
          <w:szCs w:val="16"/>
          <w:u w:val="single" w:color="auto"/>
          <w:color w:val="auto"/>
        </w:rPr>
        <w:t>Section 2.3(g)(ii)</w:t>
      </w:r>
      <w:r>
        <w:rPr>
          <w:rFonts w:ascii="Arial" w:cs="Arial" w:eastAsia="Arial" w:hAnsi="Arial"/>
          <w:sz w:val="16"/>
          <w:szCs w:val="16"/>
          <w:color w:val="auto"/>
        </w:rPr>
        <w:t xml:space="preserve">, then, without prejudice to any rights or remedies of Issuing Bank or any Lender hereunder, all Letter of Credit Fees that would have otherwise been payable to such Defaulting Lender under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with respect to such portion of such Letter of Credit Exposure shall instead be payable to Issuing Bank until such portion of such Defaulting Lender’s Letter of Credit Exposure is cash collateralized or reallocated;</w:t>
      </w:r>
    </w:p>
    <w:p>
      <w:pPr>
        <w:spacing w:after="0" w:line="157" w:lineRule="exact"/>
        <w:rPr>
          <w:rFonts w:ascii="Arial" w:cs="Arial" w:eastAsia="Arial" w:hAnsi="Arial"/>
          <w:sz w:val="16"/>
          <w:szCs w:val="16"/>
          <w:color w:val="auto"/>
        </w:rPr>
      </w:pPr>
    </w:p>
    <w:p>
      <w:pPr>
        <w:jc w:val="both"/>
        <w:ind w:firstLine="2600"/>
        <w:spacing w:after="0" w:line="296" w:lineRule="auto"/>
        <w:tabs>
          <w:tab w:leader="none" w:pos="3162"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so long as any Lender is a Defaulting Lender, the Swing Lender shall not be required to make any Swing Loan and Issuing Bank shall not be required to issue, amend, or increase any Letter of Credit, in each case, to the extent (x) the Defaulting Lender’s Pro Rata Share of such Swing Loans or Letter of Credit cannot be reallocated pursuant to this </w:t>
      </w:r>
      <w:r>
        <w:rPr>
          <w:rFonts w:ascii="Arial" w:cs="Arial" w:eastAsia="Arial" w:hAnsi="Arial"/>
          <w:sz w:val="16"/>
          <w:szCs w:val="16"/>
          <w:u w:val="single" w:color="auto"/>
          <w:color w:val="auto"/>
        </w:rPr>
        <w:t>Section 2.3(g)(ii)</w:t>
      </w:r>
      <w:r>
        <w:rPr>
          <w:rFonts w:ascii="Arial" w:cs="Arial" w:eastAsia="Arial" w:hAnsi="Arial"/>
          <w:sz w:val="16"/>
          <w:szCs w:val="16"/>
          <w:color w:val="auto"/>
        </w:rPr>
        <w:t>, or (y) the Swing Lender or Issuing Bank, as applicable, has not otherwise entered into arrangements reasonably satisfactory to the Swing Lender or Issuing Bank, as applicable, and Borrowers to eliminate the Swing Lender’s or Issuing Bank’s risk with respect to the Defaulting Lender’s participation in Swing Loans or Letters of Credit; and</w:t>
      </w:r>
    </w:p>
    <w:p>
      <w:pPr>
        <w:spacing w:after="0" w:line="161" w:lineRule="exact"/>
        <w:rPr>
          <w:rFonts w:ascii="Arial" w:cs="Arial" w:eastAsia="Arial" w:hAnsi="Arial"/>
          <w:sz w:val="16"/>
          <w:szCs w:val="16"/>
          <w:color w:val="auto"/>
        </w:rPr>
      </w:pPr>
    </w:p>
    <w:p>
      <w:pPr>
        <w:jc w:val="both"/>
        <w:ind w:firstLine="2600"/>
        <w:spacing w:after="0" w:line="275" w:lineRule="auto"/>
        <w:tabs>
          <w:tab w:leader="none" w:pos="3157"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Agent may release any cash collateral provided by Borrowers pursuant to this </w:t>
      </w:r>
      <w:r>
        <w:rPr>
          <w:rFonts w:ascii="Arial" w:cs="Arial" w:eastAsia="Arial" w:hAnsi="Arial"/>
          <w:sz w:val="17"/>
          <w:szCs w:val="17"/>
          <w:u w:val="single" w:color="auto"/>
          <w:color w:val="auto"/>
        </w:rPr>
        <w:t>Section 2.3(g)(ii)</w:t>
      </w:r>
      <w:r>
        <w:rPr>
          <w:rFonts w:ascii="Arial" w:cs="Arial" w:eastAsia="Arial" w:hAnsi="Arial"/>
          <w:sz w:val="17"/>
          <w:szCs w:val="17"/>
          <w:color w:val="auto"/>
        </w:rPr>
        <w:t xml:space="preserve"> to Issuing Bank and Issuing Bank may apply any such cash collateral to the payment of such Defaulting Lender’s Pro Rata Share of any Letter of Credit Disbursement that is not reimbursed by Borrowers pursuant to </w:t>
      </w:r>
      <w:r>
        <w:rPr>
          <w:rFonts w:ascii="Arial" w:cs="Arial" w:eastAsia="Arial" w:hAnsi="Arial"/>
          <w:sz w:val="17"/>
          <w:szCs w:val="17"/>
          <w:u w:val="single" w:color="auto"/>
          <w:color w:val="auto"/>
        </w:rPr>
        <w:t>Section 2.11(d)</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17.14</w:t>
      </w:r>
      <w:r>
        <w:rPr>
          <w:rFonts w:ascii="Arial" w:cs="Arial" w:eastAsia="Arial" w:hAnsi="Arial"/>
          <w:sz w:val="17"/>
          <w:szCs w:val="17"/>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2" w:lineRule="exact"/>
        <w:rPr>
          <w:rFonts w:ascii="Arial" w:cs="Arial" w:eastAsia="Arial" w:hAnsi="Arial"/>
          <w:sz w:val="17"/>
          <w:szCs w:val="17"/>
          <w:color w:val="auto"/>
        </w:rPr>
      </w:pPr>
    </w:p>
    <w:p>
      <w:pPr>
        <w:jc w:val="both"/>
        <w:ind w:firstLine="1304"/>
        <w:spacing w:after="0" w:line="277" w:lineRule="auto"/>
        <w:tabs>
          <w:tab w:leader="none" w:pos="2347" w:val="left"/>
        </w:tabs>
        <w:numPr>
          <w:ilvl w:val="0"/>
          <w:numId w:val="84"/>
        </w:numPr>
        <w:rPr>
          <w:rFonts w:ascii="Arial" w:cs="Arial" w:eastAsia="Arial" w:hAnsi="Arial"/>
          <w:sz w:val="17"/>
          <w:szCs w:val="17"/>
          <w:color w:val="010000"/>
        </w:rPr>
      </w:pPr>
      <w:r>
        <w:rPr>
          <w:rFonts w:ascii="Arial" w:cs="Arial" w:eastAsia="Arial" w:hAnsi="Arial"/>
          <w:sz w:val="17"/>
          <w:szCs w:val="17"/>
          <w:b w:val="1"/>
          <w:bCs w:val="1"/>
          <w:color w:val="auto"/>
        </w:rPr>
        <w:t>Independent Obligations</w:t>
      </w:r>
      <w:r>
        <w:rPr>
          <w:rFonts w:ascii="Arial" w:cs="Arial" w:eastAsia="Arial" w:hAnsi="Arial"/>
          <w:sz w:val="17"/>
          <w:szCs w:val="17"/>
          <w:color w:val="auto"/>
        </w:rPr>
        <w:t>. All Revolving Loans (other than Swing Loans and Extraordinary Advances) shall be made by</w:t>
      </w:r>
      <w:r>
        <w:rPr>
          <w:rFonts w:ascii="Arial" w:cs="Arial" w:eastAsia="Arial" w:hAnsi="Arial"/>
          <w:sz w:val="17"/>
          <w:szCs w:val="17"/>
          <w:b w:val="1"/>
          <w:bCs w:val="1"/>
          <w:color w:val="auto"/>
        </w:rPr>
        <w:t xml:space="preserve"> </w:t>
      </w:r>
      <w:r>
        <w:rPr>
          <w:rFonts w:ascii="Arial" w:cs="Arial" w:eastAsia="Arial" w:hAnsi="Arial"/>
          <w:sz w:val="17"/>
          <w:szCs w:val="17"/>
          <w:color w:val="auto"/>
        </w:rPr>
        <w:t>the Lenders contemporaneously and in accordance with their Pro Rata Shares. It is understood that (i) no Lender shall be responsible for any failure by any other Lender to perform its obligation to make any Revolving Loan (or other extension of credit) hereunder, nor shall any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ind w:left="660"/>
        <w:spacing w:after="0"/>
        <w:tabs>
          <w:tab w:leader="none" w:pos="1540" w:val="left"/>
        </w:tabs>
        <w:rPr>
          <w:sz w:val="20"/>
          <w:szCs w:val="20"/>
          <w:color w:val="auto"/>
        </w:rPr>
      </w:pPr>
      <w:r>
        <w:rPr>
          <w:rFonts w:ascii="Arial" w:cs="Arial" w:eastAsia="Arial" w:hAnsi="Arial"/>
          <w:sz w:val="18"/>
          <w:szCs w:val="18"/>
          <w:color w:val="010000"/>
        </w:rPr>
        <w:t>2.4</w:t>
      </w:r>
      <w:r>
        <w:rPr>
          <w:sz w:val="20"/>
          <w:szCs w:val="20"/>
          <w:color w:val="auto"/>
        </w:rPr>
        <w:tab/>
      </w:r>
      <w:r>
        <w:rPr>
          <w:rFonts w:ascii="Arial" w:cs="Arial" w:eastAsia="Arial" w:hAnsi="Arial"/>
          <w:sz w:val="16"/>
          <w:szCs w:val="16"/>
          <w:b w:val="1"/>
          <w:bCs w:val="1"/>
          <w:u w:val="single" w:color="auto"/>
          <w:color w:val="auto"/>
        </w:rPr>
        <w:t>Payments; Reductions of Commitments; Prepayments</w:t>
      </w:r>
      <w:r>
        <w:rPr>
          <w:rFonts w:ascii="Arial" w:cs="Arial" w:eastAsia="Arial" w:hAnsi="Arial"/>
          <w:sz w:val="16"/>
          <w:szCs w:val="16"/>
          <w:color w:val="auto"/>
        </w:rPr>
        <w:t>.</w:t>
      </w:r>
    </w:p>
    <w:p>
      <w:pPr>
        <w:spacing w:after="0" w:line="229" w:lineRule="exact"/>
        <w:rPr>
          <w:sz w:val="20"/>
          <w:szCs w:val="20"/>
          <w:color w:val="auto"/>
        </w:rPr>
      </w:pPr>
    </w:p>
    <w:p>
      <w:pPr>
        <w:ind w:left="2220" w:hanging="916"/>
        <w:spacing w:after="0"/>
        <w:tabs>
          <w:tab w:leader="none" w:pos="2220"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Payments by Borrowers.</w:t>
      </w:r>
    </w:p>
    <w:p>
      <w:pPr>
        <w:spacing w:after="0" w:line="225" w:lineRule="exact"/>
        <w:rPr>
          <w:rFonts w:ascii="Arial" w:cs="Arial" w:eastAsia="Arial" w:hAnsi="Arial"/>
          <w:sz w:val="18"/>
          <w:szCs w:val="18"/>
          <w:color w:val="010000"/>
        </w:rPr>
      </w:pPr>
    </w:p>
    <w:p>
      <w:pPr>
        <w:jc w:val="both"/>
        <w:ind w:firstLine="1952"/>
        <w:spacing w:after="0" w:line="279" w:lineRule="auto"/>
        <w:tabs>
          <w:tab w:leader="none" w:pos="30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Except as otherwise expressly provided herein, all payments by Borrowers shall be made to Agent’s Account for the account of the Lender Group and shall be made in immediately available funds, no later than 1:30 p.m. on the date specified herein. Any payment received by Agent later than 1:30 p.m. shall be deemed to have been received (unless Agent, in its sole discretion, elects to credit it on the date received) on the following Business Day and any applicable interest or fee shall continue to accrue until such following Business Day.</w:t>
      </w:r>
    </w:p>
    <w:p>
      <w:pPr>
        <w:spacing w:after="0" w:line="171" w:lineRule="exact"/>
        <w:rPr>
          <w:rFonts w:ascii="Arial" w:cs="Arial" w:eastAsia="Arial" w:hAnsi="Arial"/>
          <w:sz w:val="17"/>
          <w:szCs w:val="17"/>
          <w:color w:val="auto"/>
        </w:rPr>
      </w:pPr>
    </w:p>
    <w:p>
      <w:pPr>
        <w:jc w:val="both"/>
        <w:ind w:firstLine="1952"/>
        <w:spacing w:after="0" w:line="273" w:lineRule="auto"/>
        <w:tabs>
          <w:tab w:leader="none" w:pos="30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Unless Agent receives notice from Borrowers prior to the date on which any payment is due to the Lenders that Borrowers will not make such payment in full as and when required, Agent may assume that Borrowers have made (or will make) such payment in full to Agent on such date in immediately available funds and Agent may (but shall not be so required), in reliance upon such assumption, distribute to each Lender on such due date an amount equal to the amount then due such Lender. If and to the extent Borrowers do not make such payment in full to Agent on the date when due, each Lender severally shall repay to Agent on demand such amount distributed to such Lender, together with interest thereon at the Defaulting Lender Rate for each day from the date such amount is distributed to such Lender until the date repaid.</w:t>
      </w:r>
    </w:p>
    <w:p>
      <w:pPr>
        <w:spacing w:after="0" w:line="177" w:lineRule="exact"/>
        <w:rPr>
          <w:rFonts w:ascii="Arial" w:cs="Arial" w:eastAsia="Arial" w:hAnsi="Arial"/>
          <w:sz w:val="17"/>
          <w:szCs w:val="17"/>
          <w:color w:val="auto"/>
        </w:rPr>
      </w:pPr>
    </w:p>
    <w:p>
      <w:pPr>
        <w:ind w:left="2240" w:hanging="936"/>
        <w:spacing w:after="0"/>
        <w:tabs>
          <w:tab w:leader="none" w:pos="2240"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Apportionment and Application.</w:t>
      </w:r>
    </w:p>
    <w:p>
      <w:pPr>
        <w:spacing w:after="0" w:line="225" w:lineRule="exact"/>
        <w:rPr>
          <w:rFonts w:ascii="Arial" w:cs="Arial" w:eastAsia="Arial" w:hAnsi="Arial"/>
          <w:sz w:val="18"/>
          <w:szCs w:val="18"/>
          <w:color w:val="010000"/>
        </w:rPr>
      </w:pPr>
    </w:p>
    <w:p>
      <w:pPr>
        <w:jc w:val="both"/>
        <w:ind w:firstLine="1952"/>
        <w:spacing w:after="0" w:line="296" w:lineRule="auto"/>
        <w:tabs>
          <w:tab w:leader="none" w:pos="3108" w:val="left"/>
        </w:tabs>
        <w:numPr>
          <w:ilvl w:val="1"/>
          <w:numId w:val="85"/>
        </w:numPr>
        <w:rPr>
          <w:rFonts w:ascii="Arial" w:cs="Arial" w:eastAsia="Arial" w:hAnsi="Arial"/>
          <w:sz w:val="16"/>
          <w:szCs w:val="16"/>
          <w:color w:val="auto"/>
        </w:rPr>
      </w:pPr>
      <w:r>
        <w:rPr>
          <w:rFonts w:ascii="Arial" w:cs="Arial" w:eastAsia="Arial" w:hAnsi="Arial"/>
          <w:sz w:val="16"/>
          <w:szCs w:val="16"/>
          <w:color w:val="auto"/>
        </w:rPr>
        <w:t>So long as no Application Event has occurred and is continuing and except as otherwise provided herein with respect to Defaulting Lenders, all principal and interest payments received by Agent shall be apportioned ratably among the Lenders (according to the unpaid principal balance of the Obligations to which such payments relate held by each Lender) and all payments of fees and expenses received by Agent (other than fees or expenses that are for Agent’s separate account or for the separate account of Issuing Bank) shall be apportioned ratably among the Lenders having a Pro Rata Share of the type of Commitment or Obligation to which a particular fee or expense relates.</w:t>
      </w:r>
    </w:p>
    <w:p>
      <w:pPr>
        <w:spacing w:after="0" w:line="161" w:lineRule="exact"/>
        <w:rPr>
          <w:rFonts w:ascii="Arial" w:cs="Arial" w:eastAsia="Arial" w:hAnsi="Arial"/>
          <w:sz w:val="16"/>
          <w:szCs w:val="16"/>
          <w:color w:val="auto"/>
        </w:rPr>
      </w:pPr>
    </w:p>
    <w:p>
      <w:pPr>
        <w:jc w:val="both"/>
        <w:ind w:firstLine="1952"/>
        <w:spacing w:after="0" w:line="301" w:lineRule="auto"/>
        <w:tabs>
          <w:tab w:leader="none" w:pos="2852"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2.4(b)(v)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2.4(d)(ii)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2.4(e)</w:t>
      </w:r>
      <w:r>
        <w:rPr>
          <w:rFonts w:ascii="Arial" w:cs="Arial" w:eastAsia="Arial" w:hAnsi="Arial"/>
          <w:sz w:val="16"/>
          <w:szCs w:val="16"/>
          <w:color w:val="auto"/>
        </w:rPr>
        <w:t>, all payments to be made hereunder by Borrowers shall be remitted to Agent and all such payments, and all proceeds of Collateral received by Agent, shall be applied, so long as no Application Event has occurred and is continuing and except as otherwise provided herein with respect to Defaulting Lenders, to reduce the balance of the Revolving Loans outstanding and, thereafter, to Borrowers (to be wired to the Designated Account) or such other Person entitled thereto under applicable law.</w:t>
      </w:r>
    </w:p>
    <w:p>
      <w:pPr>
        <w:spacing w:after="0" w:line="157" w:lineRule="exact"/>
        <w:rPr>
          <w:rFonts w:ascii="Arial" w:cs="Arial" w:eastAsia="Arial" w:hAnsi="Arial"/>
          <w:sz w:val="16"/>
          <w:szCs w:val="16"/>
          <w:color w:val="auto"/>
        </w:rPr>
      </w:pPr>
    </w:p>
    <w:p>
      <w:pPr>
        <w:ind w:firstLine="1952"/>
        <w:spacing w:after="0" w:line="308" w:lineRule="auto"/>
        <w:tabs>
          <w:tab w:leader="none" w:pos="2853" w:val="left"/>
        </w:tabs>
        <w:numPr>
          <w:ilvl w:val="1"/>
          <w:numId w:val="85"/>
        </w:numPr>
        <w:rPr>
          <w:rFonts w:ascii="Arial" w:cs="Arial" w:eastAsia="Arial" w:hAnsi="Arial"/>
          <w:sz w:val="17"/>
          <w:szCs w:val="17"/>
          <w:color w:val="auto"/>
        </w:rPr>
      </w:pPr>
      <w:r>
        <w:rPr>
          <w:rFonts w:ascii="Arial" w:cs="Arial" w:eastAsia="Arial" w:hAnsi="Arial"/>
          <w:sz w:val="17"/>
          <w:szCs w:val="17"/>
          <w:color w:val="auto"/>
        </w:rPr>
        <w:t>At any time that an Application Event has occurred and is continuing and except as otherwise provided herein with respect to Defaulting Lenders, all payments remitted to Agent and all proceeds of Collateral received by Agent shall be applied as follows:</w:t>
      </w:r>
    </w:p>
    <w:p>
      <w:pPr>
        <w:spacing w:after="0" w:line="146" w:lineRule="exact"/>
        <w:rPr>
          <w:rFonts w:ascii="Arial" w:cs="Arial" w:eastAsia="Arial" w:hAnsi="Arial"/>
          <w:sz w:val="17"/>
          <w:szCs w:val="17"/>
          <w:color w:val="auto"/>
        </w:rPr>
      </w:pPr>
    </w:p>
    <w:p>
      <w:pPr>
        <w:jc w:val="both"/>
        <w:ind w:firstLine="2600"/>
        <w:spacing w:after="0" w:line="263" w:lineRule="auto"/>
        <w:tabs>
          <w:tab w:leader="none" w:pos="3170" w:val="left"/>
        </w:tabs>
        <w:numPr>
          <w:ilvl w:val="2"/>
          <w:numId w:val="85"/>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 any Lender Group Expenses (including cost or expense reimbursements) or indemnities then due to Agent under the Loan Documents and to pay interest and principal on Extraordinary Advances that are held solely by Agent pursuant to the terms of </w:t>
      </w:r>
      <w:r>
        <w:rPr>
          <w:rFonts w:ascii="Arial" w:cs="Arial" w:eastAsia="Arial" w:hAnsi="Arial"/>
          <w:sz w:val="18"/>
          <w:szCs w:val="18"/>
          <w:u w:val="single" w:color="auto"/>
          <w:color w:val="auto"/>
        </w:rPr>
        <w:t>Section 2.3(d)(iv)</w:t>
      </w:r>
      <w:r>
        <w:rPr>
          <w:rFonts w:ascii="Arial" w:cs="Arial" w:eastAsia="Arial" w:hAnsi="Arial"/>
          <w:sz w:val="18"/>
          <w:szCs w:val="18"/>
          <w:color w:val="auto"/>
        </w:rPr>
        <w:t>, until paid in full,</w:t>
      </w:r>
    </w:p>
    <w:p>
      <w:pPr>
        <w:spacing w:after="0" w:line="183" w:lineRule="exact"/>
        <w:rPr>
          <w:rFonts w:ascii="Arial" w:cs="Arial" w:eastAsia="Arial" w:hAnsi="Arial"/>
          <w:sz w:val="18"/>
          <w:szCs w:val="18"/>
          <w:color w:val="auto"/>
        </w:rPr>
      </w:pPr>
    </w:p>
    <w:p>
      <w:pPr>
        <w:ind w:left="3160" w:hanging="560"/>
        <w:spacing w:after="0"/>
        <w:tabs>
          <w:tab w:leader="none" w:pos="3160" w:val="left"/>
        </w:tabs>
        <w:numPr>
          <w:ilvl w:val="2"/>
          <w:numId w:val="85"/>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pay any fees or premiums then due to Agent under the Loan Documents, until paid in full,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ind w:left="3160" w:hanging="560"/>
        <w:spacing w:after="0"/>
        <w:tabs>
          <w:tab w:leader="none" w:pos="31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 interest due in respect of all Protective Advances, until paid in full,</w:t>
      </w:r>
    </w:p>
    <w:p>
      <w:pPr>
        <w:spacing w:after="0" w:line="225" w:lineRule="exact"/>
        <w:rPr>
          <w:rFonts w:ascii="Arial" w:cs="Arial" w:eastAsia="Arial" w:hAnsi="Arial"/>
          <w:sz w:val="18"/>
          <w:szCs w:val="18"/>
          <w:color w:val="auto"/>
        </w:rPr>
      </w:pPr>
    </w:p>
    <w:p>
      <w:pPr>
        <w:ind w:left="3160" w:hanging="560"/>
        <w:spacing w:after="0"/>
        <w:tabs>
          <w:tab w:leader="none" w:pos="31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 the principal of all Protective Advances, until paid in full,</w:t>
      </w:r>
    </w:p>
    <w:p>
      <w:pPr>
        <w:spacing w:after="0" w:line="225" w:lineRule="exact"/>
        <w:rPr>
          <w:rFonts w:ascii="Arial" w:cs="Arial" w:eastAsia="Arial" w:hAnsi="Arial"/>
          <w:sz w:val="18"/>
          <w:szCs w:val="18"/>
          <w:color w:val="auto"/>
        </w:rPr>
      </w:pPr>
    </w:p>
    <w:p>
      <w:pPr>
        <w:ind w:firstLine="2600"/>
        <w:spacing w:after="0" w:line="277" w:lineRule="auto"/>
        <w:tabs>
          <w:tab w:leader="none" w:pos="3231"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ratably, to pay any Lender Group Expenses (including cost or expense reimbursements) or indemnities then due to any of the Lenders under the Loan Documents, until paid in full,</w:t>
      </w:r>
    </w:p>
    <w:p>
      <w:pPr>
        <w:spacing w:after="0" w:line="170" w:lineRule="exact"/>
        <w:rPr>
          <w:rFonts w:ascii="Arial" w:cs="Arial" w:eastAsia="Arial" w:hAnsi="Arial"/>
          <w:sz w:val="18"/>
          <w:szCs w:val="18"/>
          <w:color w:val="auto"/>
        </w:rPr>
      </w:pPr>
    </w:p>
    <w:p>
      <w:pPr>
        <w:ind w:left="3100" w:hanging="500"/>
        <w:spacing w:after="0"/>
        <w:tabs>
          <w:tab w:leader="none" w:pos="310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sixth</w:t>
      </w:r>
      <w:r>
        <w:rPr>
          <w:rFonts w:ascii="Arial" w:cs="Arial" w:eastAsia="Arial" w:hAnsi="Arial"/>
          <w:sz w:val="16"/>
          <w:szCs w:val="16"/>
          <w:color w:val="auto"/>
        </w:rPr>
        <w:t>, ratably, to pay any fees or premiums then due to any of the Lenders under the Loan Documents, until paid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full,</w:t>
      </w:r>
    </w:p>
    <w:p>
      <w:pPr>
        <w:spacing w:after="0" w:line="210" w:lineRule="exact"/>
        <w:rPr>
          <w:rFonts w:ascii="Arial" w:cs="Arial" w:eastAsia="Arial" w:hAnsi="Arial"/>
          <w:sz w:val="16"/>
          <w:szCs w:val="16"/>
          <w:color w:val="auto"/>
        </w:rPr>
      </w:pPr>
    </w:p>
    <w:p>
      <w:pPr>
        <w:ind w:left="3120" w:hanging="520"/>
        <w:spacing w:after="0"/>
        <w:tabs>
          <w:tab w:leader="none" w:pos="31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pay interest accrued in respect of the Swing Loans, until paid in full,</w:t>
      </w:r>
    </w:p>
    <w:p>
      <w:pPr>
        <w:spacing w:after="0" w:line="225" w:lineRule="exact"/>
        <w:rPr>
          <w:rFonts w:ascii="Arial" w:cs="Arial" w:eastAsia="Arial" w:hAnsi="Arial"/>
          <w:sz w:val="18"/>
          <w:szCs w:val="18"/>
          <w:color w:val="auto"/>
        </w:rPr>
      </w:pPr>
    </w:p>
    <w:p>
      <w:pPr>
        <w:ind w:left="3120" w:hanging="520"/>
        <w:spacing w:after="0"/>
        <w:tabs>
          <w:tab w:leader="none" w:pos="31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to pay the principal of all Swing Loans, until paid in full,</w:t>
      </w:r>
    </w:p>
    <w:p>
      <w:pPr>
        <w:spacing w:after="0" w:line="225" w:lineRule="exact"/>
        <w:rPr>
          <w:rFonts w:ascii="Arial" w:cs="Arial" w:eastAsia="Arial" w:hAnsi="Arial"/>
          <w:sz w:val="18"/>
          <w:szCs w:val="18"/>
          <w:color w:val="auto"/>
        </w:rPr>
      </w:pPr>
    </w:p>
    <w:p>
      <w:pPr>
        <w:ind w:left="3140" w:hanging="540"/>
        <w:spacing w:after="0"/>
        <w:tabs>
          <w:tab w:leader="none" w:pos="314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ninth</w:t>
      </w:r>
      <w:r>
        <w:rPr>
          <w:rFonts w:ascii="Arial" w:cs="Arial" w:eastAsia="Arial" w:hAnsi="Arial"/>
          <w:sz w:val="16"/>
          <w:szCs w:val="16"/>
          <w:color w:val="auto"/>
        </w:rPr>
        <w:t>, ratably, to pay interest accrued in respect of the Revolving Loans (other than Protective Advances), until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paid in full,</w:t>
      </w:r>
    </w:p>
    <w:p>
      <w:pPr>
        <w:spacing w:after="0" w:line="210" w:lineRule="exact"/>
        <w:rPr>
          <w:rFonts w:ascii="Arial" w:cs="Arial" w:eastAsia="Arial" w:hAnsi="Arial"/>
          <w:sz w:val="16"/>
          <w:szCs w:val="16"/>
          <w:color w:val="auto"/>
        </w:rPr>
      </w:pPr>
    </w:p>
    <w:p>
      <w:pPr>
        <w:ind w:left="3100" w:hanging="500"/>
        <w:spacing w:after="0"/>
        <w:tabs>
          <w:tab w:leader="none" w:pos="31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tenth</w:t>
      </w:r>
      <w:r>
        <w:rPr>
          <w:rFonts w:ascii="Arial" w:cs="Arial" w:eastAsia="Arial" w:hAnsi="Arial"/>
          <w:sz w:val="18"/>
          <w:szCs w:val="18"/>
          <w:color w:val="auto"/>
        </w:rPr>
        <w:t>, ratably</w:t>
      </w:r>
    </w:p>
    <w:p>
      <w:pPr>
        <w:spacing w:after="0" w:line="225" w:lineRule="exact"/>
        <w:rPr>
          <w:rFonts w:ascii="Arial" w:cs="Arial" w:eastAsia="Arial" w:hAnsi="Arial"/>
          <w:sz w:val="18"/>
          <w:szCs w:val="18"/>
          <w:color w:val="auto"/>
        </w:rPr>
      </w:pPr>
    </w:p>
    <w:p>
      <w:pPr>
        <w:ind w:left="4520" w:hanging="494"/>
        <w:spacing w:after="0"/>
        <w:tabs>
          <w:tab w:leader="none" w:pos="45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ratably, to pay the principal of all Revolving Loans, until paid in full,</w:t>
      </w:r>
    </w:p>
    <w:p>
      <w:pPr>
        <w:spacing w:after="0" w:line="225" w:lineRule="exact"/>
        <w:rPr>
          <w:sz w:val="20"/>
          <w:szCs w:val="20"/>
          <w:color w:val="auto"/>
        </w:rPr>
      </w:pPr>
    </w:p>
    <w:p>
      <w:pPr>
        <w:jc w:val="both"/>
        <w:ind w:firstLine="4026"/>
        <w:spacing w:after="0" w:line="255" w:lineRule="auto"/>
        <w:tabs>
          <w:tab w:leader="none" w:pos="4585"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to Agent, to be held by Agent, for the benefit of Issuing Bank (and for the ratable benefit of each of the Lenders that have an obligation to pay to Agent, for the account of Issuing Bank, a share of each Letter of Credit Disbursement), as cash collateral in an amount up to 105% of the Letter of Credit Usage (to the extent permitted by applicable law, such cash collateral shall be applied to the reimbursement of any Letter of Credit Disbursement as and when such disbursement occurs and, if a Letter of Credit expires undrawn, the cash collateral held by Agent in respect of such Letter of Credit shall, to the extent permitted by applicable law, be reapplied pursuant to this </w:t>
      </w:r>
      <w:r>
        <w:rPr>
          <w:rFonts w:ascii="Arial" w:cs="Arial" w:eastAsia="Arial" w:hAnsi="Arial"/>
          <w:sz w:val="18"/>
          <w:szCs w:val="18"/>
          <w:u w:val="single" w:color="auto"/>
          <w:color w:val="auto"/>
        </w:rPr>
        <w:t>Section 2.4(b)(iii)</w:t>
      </w:r>
      <w:r>
        <w:rPr>
          <w:rFonts w:ascii="Arial" w:cs="Arial" w:eastAsia="Arial" w:hAnsi="Arial"/>
          <w:sz w:val="18"/>
          <w:szCs w:val="18"/>
          <w:color w:val="auto"/>
        </w:rPr>
        <w:t>, beginning with tier (A) hereof),</w:t>
      </w:r>
    </w:p>
    <w:p>
      <w:pPr>
        <w:spacing w:after="0" w:line="192" w:lineRule="exact"/>
        <w:rPr>
          <w:rFonts w:ascii="Arial" w:cs="Arial" w:eastAsia="Arial" w:hAnsi="Arial"/>
          <w:sz w:val="18"/>
          <w:szCs w:val="18"/>
          <w:color w:val="auto"/>
        </w:rPr>
      </w:pPr>
    </w:p>
    <w:p>
      <w:pPr>
        <w:jc w:val="both"/>
        <w:ind w:firstLine="2600"/>
        <w:spacing w:after="0" w:line="272" w:lineRule="auto"/>
        <w:tabs>
          <w:tab w:leader="none" w:pos="3278"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eleventh</w:t>
      </w:r>
      <w:r>
        <w:rPr>
          <w:rFonts w:ascii="Arial" w:cs="Arial" w:eastAsia="Arial" w:hAnsi="Arial"/>
          <w:sz w:val="17"/>
          <w:szCs w:val="17"/>
          <w:color w:val="auto"/>
        </w:rPr>
        <w:t xml:space="preserve">, to pay any other Obligations other than Obligations owed to Defaulting Lenders (including being paid, ratably, to the Bank Product Providers on account of all amounts then due and payable in respect of Bank Product Obligations, with any balance to be paid to Agent, to be held by Agent, for the ratable benefit of the Bank Product Providers, as cash collateral (which cash collateral may be released by Agent to the applicable Bank Product Provider and applied by such Bank Product Provider to the payment or reimbursement of any amounts due and payable with respect to Bank Product Obligations owed to the applicable Bank Product Provider as and when such amounts first become due and payable and, if and at such time as all such Bank Product Obligations are paid or otherwise satisfied in full, the cash collateral held by Agent in respect of such Bank Product Obligations shall be reapplied pursuant to this </w:t>
      </w:r>
      <w:r>
        <w:rPr>
          <w:rFonts w:ascii="Arial" w:cs="Arial" w:eastAsia="Arial" w:hAnsi="Arial"/>
          <w:sz w:val="17"/>
          <w:szCs w:val="17"/>
          <w:u w:val="single" w:color="auto"/>
          <w:color w:val="auto"/>
        </w:rPr>
        <w:t>Section 2.4(b)(iii)</w:t>
      </w:r>
      <w:r>
        <w:rPr>
          <w:rFonts w:ascii="Arial" w:cs="Arial" w:eastAsia="Arial" w:hAnsi="Arial"/>
          <w:sz w:val="17"/>
          <w:szCs w:val="17"/>
          <w:color w:val="auto"/>
        </w:rPr>
        <w:t>, beginning with tier (A) hereof),</w:t>
      </w:r>
    </w:p>
    <w:p>
      <w:pPr>
        <w:spacing w:after="0" w:line="177" w:lineRule="exact"/>
        <w:rPr>
          <w:rFonts w:ascii="Arial" w:cs="Arial" w:eastAsia="Arial" w:hAnsi="Arial"/>
          <w:sz w:val="17"/>
          <w:szCs w:val="17"/>
          <w:color w:val="auto"/>
        </w:rPr>
      </w:pPr>
    </w:p>
    <w:p>
      <w:pPr>
        <w:ind w:left="3140" w:hanging="540"/>
        <w:spacing w:after="0"/>
        <w:tabs>
          <w:tab w:leader="none" w:pos="314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twelfth</w:t>
      </w:r>
      <w:r>
        <w:rPr>
          <w:rFonts w:ascii="Arial" w:cs="Arial" w:eastAsia="Arial" w:hAnsi="Arial"/>
          <w:sz w:val="18"/>
          <w:szCs w:val="18"/>
          <w:color w:val="auto"/>
        </w:rPr>
        <w:t>, ratably to pay any Obligations owed to Defaulting Lenders; and</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thirteenth</w:t>
      </w:r>
      <w:r>
        <w:rPr>
          <w:rFonts w:ascii="Arial" w:cs="Arial" w:eastAsia="Arial" w:hAnsi="Arial"/>
          <w:sz w:val="16"/>
          <w:szCs w:val="16"/>
          <w:color w:val="auto"/>
        </w:rPr>
        <w:t>, to Borrowers (to be wired to the Designated Account) or such other Person entitled thereto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ind w:left="3060" w:hanging="1108"/>
        <w:spacing w:after="0"/>
        <w:tabs>
          <w:tab w:leader="none" w:pos="30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Agent promptly shall distribute to each Lender, pursuant to the applicable wire instructions received from each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Lender in writing, such funds as it may be entitled to receive, subject to a Settlement delay as provided in </w:t>
      </w:r>
      <w:r>
        <w:rPr>
          <w:rFonts w:ascii="Arial" w:cs="Arial" w:eastAsia="Arial" w:hAnsi="Arial"/>
          <w:sz w:val="18"/>
          <w:szCs w:val="18"/>
          <w:u w:val="single" w:color="auto"/>
          <w:color w:val="auto"/>
        </w:rPr>
        <w:t>Section 2.3(e)</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firstLine="1952"/>
        <w:spacing w:after="0" w:line="263" w:lineRule="auto"/>
        <w:tabs>
          <w:tab w:leader="none" w:pos="2927"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In each instance, so long as no Application Event has occurred and is continuing, </w:t>
      </w:r>
      <w:r>
        <w:rPr>
          <w:rFonts w:ascii="Arial" w:cs="Arial" w:eastAsia="Arial" w:hAnsi="Arial"/>
          <w:sz w:val="18"/>
          <w:szCs w:val="18"/>
          <w:u w:val="single" w:color="auto"/>
          <w:color w:val="auto"/>
        </w:rPr>
        <w:t>Section 2.4(b)(ii)</w:t>
      </w:r>
      <w:r>
        <w:rPr>
          <w:rFonts w:ascii="Arial" w:cs="Arial" w:eastAsia="Arial" w:hAnsi="Arial"/>
          <w:sz w:val="18"/>
          <w:szCs w:val="18"/>
          <w:color w:val="auto"/>
        </w:rPr>
        <w:t xml:space="preserve"> shall not apply to any payment made by Borrowers to Agent and specified by Borrowers to be for the payment of specific Obligations then due and payable (or prepayable) under any provision of this Agreement or any other Loan Document.</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3013"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2.4(b)(iii)</w:t>
      </w:r>
      <w:r>
        <w:rPr>
          <w:rFonts w:ascii="Arial" w:cs="Arial" w:eastAsia="Arial" w:hAnsi="Arial"/>
          <w:sz w:val="18"/>
          <w:szCs w:val="18"/>
          <w:color w:val="auto"/>
        </w:rPr>
        <w:t>, “paid in full” of a type of Obligation means payment in cash or immediately available funds of all amounts owing on account of such type of Obligation, including interest accrued after the commencement of any Insolvency Proceeding, default interest, interest on interest, and expense reimbursements, irrespective of whether any of the foregoing would be or is allowed or disallowed in whole or in part in any Insolvency Proceeding.</w:t>
      </w:r>
    </w:p>
    <w:p>
      <w:pPr>
        <w:spacing w:after="0" w:line="186" w:lineRule="exact"/>
        <w:rPr>
          <w:rFonts w:ascii="Arial" w:cs="Arial" w:eastAsia="Arial" w:hAnsi="Arial"/>
          <w:sz w:val="18"/>
          <w:szCs w:val="18"/>
          <w:color w:val="auto"/>
        </w:rPr>
      </w:pPr>
    </w:p>
    <w:p>
      <w:pPr>
        <w:jc w:val="both"/>
        <w:ind w:firstLine="1952"/>
        <w:spacing w:after="0" w:line="257" w:lineRule="auto"/>
        <w:tabs>
          <w:tab w:leader="none" w:pos="3194"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In the event of a direct conflict between the priority provisions of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if the conflict relates to the provisions of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then the provisions of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shall control and govern, and if otherwise, then the terms and provisions of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control and govern.</w:t>
      </w:r>
    </w:p>
    <w:p>
      <w:pPr>
        <w:spacing w:after="0" w:line="183" w:lineRule="exact"/>
        <w:rPr>
          <w:rFonts w:ascii="Arial" w:cs="Arial" w:eastAsia="Arial" w:hAnsi="Arial"/>
          <w:sz w:val="18"/>
          <w:szCs w:val="18"/>
          <w:color w:val="auto"/>
        </w:rPr>
      </w:pPr>
    </w:p>
    <w:p>
      <w:pPr>
        <w:ind w:left="2220" w:hanging="916"/>
        <w:spacing w:after="0"/>
        <w:tabs>
          <w:tab w:leader="none" w:pos="2220" w:val="left"/>
        </w:tabs>
        <w:numPr>
          <w:ilvl w:val="0"/>
          <w:numId w:val="90"/>
        </w:numPr>
        <w:rPr>
          <w:rFonts w:ascii="Arial" w:cs="Arial" w:eastAsia="Arial" w:hAnsi="Arial"/>
          <w:sz w:val="18"/>
          <w:szCs w:val="18"/>
          <w:color w:val="010000"/>
        </w:rPr>
      </w:pPr>
      <w:r>
        <w:rPr>
          <w:rFonts w:ascii="Arial" w:cs="Arial" w:eastAsia="Arial" w:hAnsi="Arial"/>
          <w:sz w:val="18"/>
          <w:szCs w:val="18"/>
          <w:b w:val="1"/>
          <w:bCs w:val="1"/>
          <w:color w:val="auto"/>
        </w:rPr>
        <w:t>Reduction of Commitments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firstLine="1952"/>
        <w:spacing w:after="0" w:line="287" w:lineRule="auto"/>
        <w:tabs>
          <w:tab w:leader="none" w:pos="2959" w:val="left"/>
        </w:tabs>
        <w:numPr>
          <w:ilvl w:val="1"/>
          <w:numId w:val="90"/>
        </w:numPr>
        <w:rPr>
          <w:rFonts w:ascii="Arial" w:cs="Arial" w:eastAsia="Arial" w:hAnsi="Arial"/>
          <w:sz w:val="16"/>
          <w:szCs w:val="16"/>
          <w:color w:val="auto"/>
        </w:rPr>
      </w:pPr>
      <w:r>
        <w:rPr>
          <w:rFonts w:ascii="Arial" w:cs="Arial" w:eastAsia="Arial" w:hAnsi="Arial"/>
          <w:sz w:val="16"/>
          <w:szCs w:val="16"/>
          <w:b w:val="1"/>
          <w:bCs w:val="1"/>
          <w:color w:val="auto"/>
        </w:rPr>
        <w:t>Revolver Commitments</w:t>
      </w:r>
      <w:r>
        <w:rPr>
          <w:rFonts w:ascii="Arial" w:cs="Arial" w:eastAsia="Arial" w:hAnsi="Arial"/>
          <w:sz w:val="16"/>
          <w:szCs w:val="16"/>
          <w:color w:val="auto"/>
        </w:rPr>
        <w:t>. The Revolver Commitments shall terminate on the Maturity Date or earlier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thereof pursuant to the terms of this Agreement. Borrowers may reduce the Revolver Commitments, without premium or penalty, to an amount not less than the greater of (A) $50,000,000 or (B) the sum of (x) the Revolver Usage as of such date,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(y) the principal amount of all Revolving Loans not yet made as to which a request has been given by Borrowers under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(z) the amount of all Letters of Credit not yet issued as to which a request has been given by Borrowers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Each such reduction shall be in an amount which is not less than $5,000,000 (unless the Revolver Commitments are being reduced to the minimum amount set forth in the immediately preceding sentence and the amount of the Revolver Commitments in excess of such minimum amount in effect immediately prior to such reduction is less than $5,000,000), shall be made by providing not less than ten Business Days prior written notice to Agent, and shall be irrevocable. The Revolver Commitments, once reduced, may not be increased. Each such reduction of the Revolver Commitments shall reduce the Revolver Commitments of each Lender proportionately in accordance with its ratable share thereof. In connection with any reduction in the Revolver Commitments prior to the Maturity Date, if any Loan Party or any of its Subsidiaries owns any Margin Stock, Borrowers shall deliver to Agent an updated Form U-1 (with sufficient additional originals thereof for each Lender), duly executed and delivered by the Borrowers, together with such other documentation as Agent shall reasonably request, in order to enable Agent and the Lenders to comply with any of the requirements under Regulations T, U or X of the Federal Reserve Board.</w:t>
      </w:r>
    </w:p>
    <w:p>
      <w:pPr>
        <w:spacing w:after="0" w:line="163" w:lineRule="exact"/>
        <w:rPr>
          <w:rFonts w:ascii="Arial" w:cs="Arial" w:eastAsia="Arial" w:hAnsi="Arial"/>
          <w:sz w:val="16"/>
          <w:szCs w:val="16"/>
          <w:color w:val="auto"/>
        </w:rPr>
      </w:pPr>
    </w:p>
    <w:p>
      <w:pPr>
        <w:ind w:left="2840" w:hanging="888"/>
        <w:spacing w:after="0"/>
        <w:tabs>
          <w:tab w:leader="none" w:pos="284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0"/>
          <w:numId w:val="90"/>
        </w:numPr>
        <w:rPr>
          <w:rFonts w:ascii="Arial" w:cs="Arial" w:eastAsia="Arial" w:hAnsi="Arial"/>
          <w:sz w:val="18"/>
          <w:szCs w:val="18"/>
          <w:color w:val="010000"/>
        </w:rPr>
      </w:pPr>
      <w:r>
        <w:rPr>
          <w:rFonts w:ascii="Arial" w:cs="Arial" w:eastAsia="Arial" w:hAnsi="Arial"/>
          <w:sz w:val="18"/>
          <w:szCs w:val="18"/>
          <w:b w:val="1"/>
          <w:bCs w:val="1"/>
          <w:color w:val="auto"/>
        </w:rPr>
        <w:t>Optional Prepayments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3040" w:hanging="1088"/>
        <w:spacing w:after="0"/>
        <w:tabs>
          <w:tab w:leader="none" w:pos="3040" w:val="left"/>
        </w:tabs>
        <w:numPr>
          <w:ilvl w:val="1"/>
          <w:numId w:val="90"/>
        </w:numPr>
        <w:rPr>
          <w:rFonts w:ascii="Arial" w:cs="Arial" w:eastAsia="Arial" w:hAnsi="Arial"/>
          <w:sz w:val="17"/>
          <w:szCs w:val="17"/>
          <w:color w:val="auto"/>
        </w:rPr>
      </w:pPr>
      <w:r>
        <w:rPr>
          <w:rFonts w:ascii="Arial" w:cs="Arial" w:eastAsia="Arial" w:hAnsi="Arial"/>
          <w:sz w:val="17"/>
          <w:szCs w:val="17"/>
          <w:b w:val="1"/>
          <w:bCs w:val="1"/>
          <w:color w:val="auto"/>
        </w:rPr>
        <w:t>Revolving Loans</w:t>
      </w:r>
      <w:r>
        <w:rPr>
          <w:rFonts w:ascii="Arial" w:cs="Arial" w:eastAsia="Arial" w:hAnsi="Arial"/>
          <w:sz w:val="17"/>
          <w:szCs w:val="17"/>
          <w:color w:val="auto"/>
        </w:rPr>
        <w:t>. Borrowers may prepay the principal of any Revolving Loan at any time in whole or in part,</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without premium or penalty.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ind w:left="2840" w:hanging="888"/>
        <w:spacing w:after="0"/>
        <w:tabs>
          <w:tab w:leader="none" w:pos="2840"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20" w:hanging="916"/>
        <w:spacing w:after="0"/>
        <w:tabs>
          <w:tab w:leader="none" w:pos="2220" w:val="left"/>
        </w:tabs>
        <w:numPr>
          <w:ilvl w:val="0"/>
          <w:numId w:val="92"/>
        </w:numPr>
        <w:rPr>
          <w:rFonts w:ascii="Arial" w:cs="Arial" w:eastAsia="Arial" w:hAnsi="Arial"/>
          <w:sz w:val="18"/>
          <w:szCs w:val="18"/>
          <w:color w:val="010000"/>
        </w:rPr>
      </w:pPr>
      <w:r>
        <w:rPr>
          <w:rFonts w:ascii="Arial" w:cs="Arial" w:eastAsia="Arial" w:hAnsi="Arial"/>
          <w:sz w:val="18"/>
          <w:szCs w:val="18"/>
          <w:b w:val="1"/>
          <w:bCs w:val="1"/>
          <w:color w:val="auto"/>
        </w:rPr>
        <w:t>Mandatory Prepayments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firstLine="1952"/>
        <w:spacing w:after="0" w:line="261" w:lineRule="auto"/>
        <w:tabs>
          <w:tab w:leader="none" w:pos="2950"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Borrowing Base</w:t>
      </w:r>
      <w:r>
        <w:rPr>
          <w:rFonts w:ascii="Arial" w:cs="Arial" w:eastAsia="Arial" w:hAnsi="Arial"/>
          <w:sz w:val="18"/>
          <w:szCs w:val="18"/>
          <w:color w:val="auto"/>
        </w:rPr>
        <w:t>. If, at any time, (A) the Revolver Usage on such date exceeds (B) the lesser of (x) the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Base reflected in the Borrowing Base Certificate most recently delivered by Borrowers to Agent, or (y) the Maximum Revolver Amount, in all cases as adjusted for Reserves established by Agent in accordance with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then Borrowers shall immediately prepay the Obligations in accordance with </w:t>
      </w:r>
      <w:r>
        <w:rPr>
          <w:rFonts w:ascii="Arial" w:cs="Arial" w:eastAsia="Arial" w:hAnsi="Arial"/>
          <w:sz w:val="18"/>
          <w:szCs w:val="18"/>
          <w:u w:val="single" w:color="auto"/>
          <w:color w:val="auto"/>
        </w:rPr>
        <w:t>Section 2.4(f)</w:t>
      </w:r>
      <w:r>
        <w:rPr>
          <w:rFonts w:ascii="Arial" w:cs="Arial" w:eastAsia="Arial" w:hAnsi="Arial"/>
          <w:sz w:val="18"/>
          <w:szCs w:val="18"/>
          <w:color w:val="auto"/>
        </w:rPr>
        <w:t xml:space="preserve"> in an aggregate amount equal to the amount of such excess.</w:t>
      </w:r>
    </w:p>
    <w:p>
      <w:pPr>
        <w:spacing w:after="0" w:line="179" w:lineRule="exact"/>
        <w:rPr>
          <w:rFonts w:ascii="Arial" w:cs="Arial" w:eastAsia="Arial" w:hAnsi="Arial"/>
          <w:sz w:val="18"/>
          <w:szCs w:val="18"/>
          <w:color w:val="auto"/>
        </w:rPr>
      </w:pPr>
    </w:p>
    <w:p>
      <w:pPr>
        <w:jc w:val="both"/>
        <w:ind w:firstLine="1304"/>
        <w:spacing w:after="0" w:line="261" w:lineRule="auto"/>
        <w:tabs>
          <w:tab w:leader="none" w:pos="2240" w:val="left"/>
        </w:tabs>
        <w:numPr>
          <w:ilvl w:val="0"/>
          <w:numId w:val="92"/>
        </w:numPr>
        <w:rPr>
          <w:rFonts w:ascii="Arial" w:cs="Arial" w:eastAsia="Arial" w:hAnsi="Arial"/>
          <w:sz w:val="18"/>
          <w:szCs w:val="18"/>
          <w:color w:val="010000"/>
        </w:rPr>
      </w:pPr>
      <w:r>
        <w:rPr>
          <w:rFonts w:ascii="Arial" w:cs="Arial" w:eastAsia="Arial" w:hAnsi="Arial"/>
          <w:sz w:val="18"/>
          <w:szCs w:val="18"/>
          <w:b w:val="1"/>
          <w:bCs w:val="1"/>
          <w:color w:val="auto"/>
        </w:rPr>
        <w:t>Application of Payments</w:t>
      </w:r>
      <w:r>
        <w:rPr>
          <w:rFonts w:ascii="Arial" w:cs="Arial" w:eastAsia="Arial" w:hAnsi="Arial"/>
          <w:sz w:val="18"/>
          <w:szCs w:val="18"/>
          <w:color w:val="auto"/>
        </w:rPr>
        <w:t>. Each prepayment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2.4(e)</w:t>
      </w:r>
      <w:r>
        <w:rPr>
          <w:rFonts w:ascii="Arial" w:cs="Arial" w:eastAsia="Arial" w:hAnsi="Arial"/>
          <w:sz w:val="18"/>
          <w:szCs w:val="18"/>
          <w:b w:val="1"/>
          <w:bCs w:val="1"/>
          <w:color w:val="auto"/>
        </w:rPr>
        <w:t xml:space="preserve"> </w:t>
      </w:r>
      <w:r>
        <w:rPr>
          <w:rFonts w:ascii="Arial" w:cs="Arial" w:eastAsia="Arial" w:hAnsi="Arial"/>
          <w:sz w:val="18"/>
          <w:szCs w:val="18"/>
          <w:color w:val="auto"/>
        </w:rPr>
        <w:t>shall, (A) so long as no Application Event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occurred and be continuing, be applied,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outstanding principal amount of the Revolving Loans until paid in full, and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cash collateralize the Letters of Credit in an amount equal to 105% of the then outstanding Letter of Credit Usage, and (B) if an Application Event shall have occurred and be continuing, be applied in the manner set forth in </w:t>
      </w:r>
      <w:r>
        <w:rPr>
          <w:rFonts w:ascii="Arial" w:cs="Arial" w:eastAsia="Arial" w:hAnsi="Arial"/>
          <w:sz w:val="18"/>
          <w:szCs w:val="18"/>
          <w:u w:val="single" w:color="auto"/>
          <w:color w:val="auto"/>
        </w:rPr>
        <w:t>Section 2.4(b)(iii)</w:t>
      </w:r>
      <w:r>
        <w:rPr>
          <w:rFonts w:ascii="Arial" w:cs="Arial" w:eastAsia="Arial" w:hAnsi="Arial"/>
          <w:sz w:val="18"/>
          <w:szCs w:val="18"/>
          <w:color w:val="auto"/>
        </w:rPr>
        <w:t>.</w:t>
      </w:r>
    </w:p>
    <w:p>
      <w:pPr>
        <w:spacing w:after="0" w:line="180"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010000"/>
        </w:rPr>
        <w:t>2.5</w:t>
      </w:r>
      <w:r>
        <w:rPr>
          <w:sz w:val="20"/>
          <w:szCs w:val="20"/>
          <w:color w:val="auto"/>
        </w:rPr>
        <w:tab/>
      </w:r>
      <w:r>
        <w:rPr>
          <w:rFonts w:ascii="Arial" w:cs="Arial" w:eastAsia="Arial" w:hAnsi="Arial"/>
          <w:sz w:val="15"/>
          <w:szCs w:val="15"/>
          <w:b w:val="1"/>
          <w:bCs w:val="1"/>
          <w:u w:val="single" w:color="auto"/>
          <w:color w:val="auto"/>
        </w:rPr>
        <w:t>Promise to Pay; Promissory Notes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91" w:lineRule="auto"/>
        <w:tabs>
          <w:tab w:leader="none" w:pos="2391" w:val="left"/>
        </w:tabs>
        <w:numPr>
          <w:ilvl w:val="0"/>
          <w:numId w:val="93"/>
        </w:numPr>
        <w:rPr>
          <w:rFonts w:ascii="Arial" w:cs="Arial" w:eastAsia="Arial" w:hAnsi="Arial"/>
          <w:sz w:val="16"/>
          <w:szCs w:val="16"/>
          <w:color w:val="010000"/>
        </w:rPr>
      </w:pPr>
      <w:r>
        <w:rPr>
          <w:rFonts w:ascii="Arial" w:cs="Arial" w:eastAsia="Arial" w:hAnsi="Arial"/>
          <w:sz w:val="16"/>
          <w:szCs w:val="16"/>
          <w:color w:val="auto"/>
        </w:rPr>
        <w:t xml:space="preserve">Borrowers agree to pay the Lender Group Expenses on the earlier of (i) the first day of the month following the date on which the applicable Lender Group Expenses were first incurred, or (ii) the date on which demand therefor is made by Agent (it being acknowledged and agreed that any charging of such costs, expenses or Lender Group Expenses to the Loan Account pursuant to the provisions of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shall be deemed to constitute a demand for payment thereof for the purposes of this subclause (ii)). Borrowers promise to pay all of the Obligations (including principal, interest, premiums, if any, fees, costs, and expenses (including Lender Group Expenses)) in full on the Maturity Date or, if earlier, on the date on which the Obligations (other than the Bank Product Obligations) become due and payable pursuant to the terms of this Agreement. Borrowers agree that their obligations contained in the first sentence of this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shall survive payment or satisfaction in full of all other Obligations.</w:t>
      </w:r>
    </w:p>
    <w:p>
      <w:pPr>
        <w:spacing w:after="0" w:line="166" w:lineRule="exact"/>
        <w:rPr>
          <w:rFonts w:ascii="Arial" w:cs="Arial" w:eastAsia="Arial" w:hAnsi="Arial"/>
          <w:sz w:val="16"/>
          <w:szCs w:val="16"/>
          <w:color w:val="010000"/>
        </w:rPr>
      </w:pPr>
    </w:p>
    <w:p>
      <w:pPr>
        <w:jc w:val="both"/>
        <w:ind w:firstLine="1304"/>
        <w:spacing w:after="0" w:line="254" w:lineRule="auto"/>
        <w:tabs>
          <w:tab w:leader="none" w:pos="2522"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Any Lender may request that any portion of its Commitments or the Loans made by it be evidenced by one or more promissory notes. In such event, Borrowers shall execute and deliver to such Lender the requested promissory notes payable to such Lender in a form furnished by Agent and reasonably satisfactory to Borrowers. Thereafter, the portion of the Commitments and Loans evidenced by such promissory notes and interest thereon shall at all times be represented by one or more promissory notes in such form payable to the payee named therein. Each Lender that requests a promissory note on the Closing Date agrees that such note may be delivered to Agent, that Agent can accept such notes on behalf of such Lender, that such delivery to Agent shall also constitute delivery to such Lender hereunder, and that upon such delivery such Lender will be bound by the terms of such note and the other Loan Documents.</w:t>
      </w:r>
    </w:p>
    <w:p>
      <w:pPr>
        <w:spacing w:after="0" w:line="191"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010000"/>
        </w:rPr>
        <w:t>2.6</w:t>
      </w:r>
      <w:r>
        <w:rPr>
          <w:sz w:val="20"/>
          <w:szCs w:val="20"/>
          <w:color w:val="auto"/>
        </w:rPr>
        <w:tab/>
      </w:r>
      <w:r>
        <w:rPr>
          <w:rFonts w:ascii="Arial" w:cs="Arial" w:eastAsia="Arial" w:hAnsi="Arial"/>
          <w:sz w:val="16"/>
          <w:szCs w:val="16"/>
          <w:b w:val="1"/>
          <w:bCs w:val="1"/>
          <w:u w:val="single" w:color="auto"/>
          <w:color w:val="auto"/>
        </w:rPr>
        <w:t>Interest Rates and Letter of Credit Fee: Rates, Payments, and Calculations</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82" w:lineRule="auto"/>
        <w:tabs>
          <w:tab w:leader="none" w:pos="2310" w:val="left"/>
        </w:tabs>
        <w:numPr>
          <w:ilvl w:val="0"/>
          <w:numId w:val="94"/>
        </w:numPr>
        <w:rPr>
          <w:rFonts w:ascii="Arial" w:cs="Arial" w:eastAsia="Arial" w:hAnsi="Arial"/>
          <w:sz w:val="18"/>
          <w:szCs w:val="18"/>
          <w:color w:val="010000"/>
        </w:rPr>
      </w:pPr>
      <w:r>
        <w:rPr>
          <w:rFonts w:ascii="Arial" w:cs="Arial" w:eastAsia="Arial" w:hAnsi="Arial"/>
          <w:sz w:val="18"/>
          <w:szCs w:val="18"/>
          <w:b w:val="1"/>
          <w:bCs w:val="1"/>
          <w:color w:val="auto"/>
        </w:rPr>
        <w:t>Interest Rates</w:t>
      </w:r>
      <w:r>
        <w:rPr>
          <w:rFonts w:ascii="Arial" w:cs="Arial" w:eastAsia="Arial" w:hAnsi="Arial"/>
          <w:sz w:val="18"/>
          <w:szCs w:val="18"/>
          <w:color w:val="auto"/>
        </w:rPr>
        <w:t>. Except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2.6(c)</w:t>
      </w:r>
      <w:r>
        <w:rPr>
          <w:rFonts w:ascii="Arial" w:cs="Arial" w:eastAsia="Arial" w:hAnsi="Arial"/>
          <w:sz w:val="18"/>
          <w:szCs w:val="18"/>
          <w:color w:val="auto"/>
        </w:rPr>
        <w:t>, all Obligations (except for undrawn Letters of Credit) that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charged to the Loan Account pursuant to the terms hereof shall bear interest as follows:</w:t>
      </w:r>
    </w:p>
    <w:p>
      <w:pPr>
        <w:spacing w:after="0" w:line="165" w:lineRule="exact"/>
        <w:rPr>
          <w:rFonts w:ascii="Arial" w:cs="Arial" w:eastAsia="Arial" w:hAnsi="Arial"/>
          <w:sz w:val="18"/>
          <w:szCs w:val="18"/>
          <w:color w:val="010000"/>
        </w:rPr>
      </w:pPr>
    </w:p>
    <w:p>
      <w:pPr>
        <w:ind w:left="3040" w:hanging="1088"/>
        <w:spacing w:after="0"/>
        <w:tabs>
          <w:tab w:leader="none" w:pos="3040"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if the relevant Obligation is a LIBOR Rate Loan, at a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rate equal to the LIBOR Rate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the LIBOR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Rate Margin, and</w:t>
      </w:r>
    </w:p>
    <w:p>
      <w:pPr>
        <w:spacing w:after="0" w:line="210" w:lineRule="exact"/>
        <w:rPr>
          <w:rFonts w:ascii="Arial" w:cs="Arial" w:eastAsia="Arial" w:hAnsi="Arial"/>
          <w:sz w:val="16"/>
          <w:szCs w:val="16"/>
          <w:color w:val="auto"/>
        </w:rPr>
      </w:pPr>
    </w:p>
    <w:p>
      <w:pPr>
        <w:ind w:left="2840" w:hanging="888"/>
        <w:spacing w:after="0"/>
        <w:tabs>
          <w:tab w:leader="none" w:pos="28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otherwise, at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the Base Rate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the Base Rate Margin.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1304"/>
        <w:spacing w:after="0" w:line="261" w:lineRule="auto"/>
        <w:tabs>
          <w:tab w:leader="none" w:pos="2333" w:val="left"/>
        </w:tabs>
        <w:numPr>
          <w:ilvl w:val="0"/>
          <w:numId w:val="95"/>
        </w:numPr>
        <w:rPr>
          <w:rFonts w:ascii="Arial" w:cs="Arial" w:eastAsia="Arial" w:hAnsi="Arial"/>
          <w:sz w:val="18"/>
          <w:szCs w:val="18"/>
          <w:color w:val="010000"/>
        </w:rPr>
      </w:pPr>
      <w:r>
        <w:rPr>
          <w:rFonts w:ascii="Arial" w:cs="Arial" w:eastAsia="Arial" w:hAnsi="Arial"/>
          <w:sz w:val="18"/>
          <w:szCs w:val="18"/>
          <w:b w:val="1"/>
          <w:bCs w:val="1"/>
          <w:color w:val="auto"/>
        </w:rPr>
        <w:t>Letter of Credit Fee</w:t>
      </w:r>
      <w:r>
        <w:rPr>
          <w:rFonts w:ascii="Arial" w:cs="Arial" w:eastAsia="Arial" w:hAnsi="Arial"/>
          <w:sz w:val="18"/>
          <w:szCs w:val="18"/>
          <w:color w:val="auto"/>
        </w:rPr>
        <w:t>. Borrowers shall pay Agent (for the ratable benefit of the Revolving Lenders), a Letter of Credit fee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(which fee shall be in addition to the fronting fees and commissions, other fees, charges and expenses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2.11(k)</w:t>
      </w:r>
      <w:r>
        <w:rPr>
          <w:rFonts w:ascii="Arial" w:cs="Arial" w:eastAsia="Arial" w:hAnsi="Arial"/>
          <w:sz w:val="18"/>
          <w:szCs w:val="18"/>
          <w:color w:val="auto"/>
        </w:rPr>
        <w:t xml:space="preserve">) that shall accrue at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the Revolving Loan LIBOR Rate Margin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average amount of the Letter of Credit Usage during the immediately preceding month.</w:t>
      </w:r>
    </w:p>
    <w:p>
      <w:pPr>
        <w:spacing w:after="0" w:line="179" w:lineRule="exact"/>
        <w:rPr>
          <w:rFonts w:ascii="Arial" w:cs="Arial" w:eastAsia="Arial" w:hAnsi="Arial"/>
          <w:sz w:val="18"/>
          <w:szCs w:val="18"/>
          <w:color w:val="010000"/>
        </w:rPr>
      </w:pPr>
    </w:p>
    <w:p>
      <w:pPr>
        <w:jc w:val="both"/>
        <w:ind w:firstLine="1304"/>
        <w:spacing w:after="0" w:line="255" w:lineRule="auto"/>
        <w:tabs>
          <w:tab w:leader="none" w:pos="2215" w:val="left"/>
        </w:tabs>
        <w:numPr>
          <w:ilvl w:val="0"/>
          <w:numId w:val="95"/>
        </w:numPr>
        <w:rPr>
          <w:rFonts w:ascii="Arial" w:cs="Arial" w:eastAsia="Arial" w:hAnsi="Arial"/>
          <w:sz w:val="18"/>
          <w:szCs w:val="18"/>
          <w:color w:val="010000"/>
        </w:rPr>
      </w:pPr>
      <w:r>
        <w:rPr>
          <w:rFonts w:ascii="Arial" w:cs="Arial" w:eastAsia="Arial" w:hAnsi="Arial"/>
          <w:sz w:val="18"/>
          <w:szCs w:val="18"/>
          <w:b w:val="1"/>
          <w:bCs w:val="1"/>
          <w:color w:val="auto"/>
        </w:rPr>
        <w:t>Default Rate</w:t>
      </w:r>
      <w:r>
        <w:rPr>
          <w:rFonts w:ascii="Arial" w:cs="Arial" w:eastAsia="Arial" w:hAnsi="Arial"/>
          <w:sz w:val="18"/>
          <w:szCs w:val="18"/>
          <w:color w:val="auto"/>
        </w:rPr>
        <w:t>. (i) Automatically upon the occurrence and during the continuation of an Event of Default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8.4</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and (ii) upon the occurrence and during the continuation of any other Event of Default (other than an Event of Default under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8.5</w:t>
      </w:r>
      <w:r>
        <w:rPr>
          <w:rFonts w:ascii="Arial" w:cs="Arial" w:eastAsia="Arial" w:hAnsi="Arial"/>
          <w:sz w:val="18"/>
          <w:szCs w:val="18"/>
          <w:color w:val="auto"/>
        </w:rPr>
        <w:t>), at the direction of Agent or the Required Lenders, and upon written notice by Agent to Borrowers of such direction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notice shall not be required for any Event of Default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 all Loans and all Obligations (except for undrawn Letters of Credit) that have been charged to the Loan Account pursuant to the terms hereof shall bear interest at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two percentage points above the per annum rate otherwise applicable thereunder, and (B) the Letter of Credit Fee shall be increased to two percentage points above the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otherwise applicable hereunder.</w:t>
      </w:r>
    </w:p>
    <w:p>
      <w:pPr>
        <w:spacing w:after="0" w:line="188" w:lineRule="exact"/>
        <w:rPr>
          <w:rFonts w:ascii="Arial" w:cs="Arial" w:eastAsia="Arial" w:hAnsi="Arial"/>
          <w:sz w:val="18"/>
          <w:szCs w:val="18"/>
          <w:color w:val="010000"/>
        </w:rPr>
      </w:pPr>
    </w:p>
    <w:p>
      <w:pPr>
        <w:jc w:val="both"/>
        <w:ind w:firstLine="1304"/>
        <w:spacing w:after="0" w:line="285" w:lineRule="auto"/>
        <w:tabs>
          <w:tab w:leader="none" w:pos="2360" w:val="left"/>
        </w:tabs>
        <w:numPr>
          <w:ilvl w:val="0"/>
          <w:numId w:val="95"/>
        </w:numPr>
        <w:rPr>
          <w:rFonts w:ascii="Arial" w:cs="Arial" w:eastAsia="Arial" w:hAnsi="Arial"/>
          <w:sz w:val="16"/>
          <w:szCs w:val="16"/>
          <w:color w:val="010000"/>
        </w:rPr>
      </w:pPr>
      <w:r>
        <w:rPr>
          <w:rFonts w:ascii="Arial" w:cs="Arial" w:eastAsia="Arial" w:hAnsi="Arial"/>
          <w:sz w:val="16"/>
          <w:szCs w:val="16"/>
          <w:b w:val="1"/>
          <w:bCs w:val="1"/>
          <w:color w:val="auto"/>
        </w:rPr>
        <w:t>Payment</w:t>
      </w:r>
      <w:r>
        <w:rPr>
          <w:rFonts w:ascii="Arial" w:cs="Arial" w:eastAsia="Arial" w:hAnsi="Arial"/>
          <w:sz w:val="16"/>
          <w:szCs w:val="16"/>
          <w:color w:val="auto"/>
        </w:rPr>
        <w:t>. Except to the extent provided to the contrary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2.11(k)</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2.12(a)</w:t>
      </w:r>
      <w:r>
        <w:rPr>
          <w:rFonts w:ascii="Arial" w:cs="Arial" w:eastAsia="Arial" w:hAnsi="Arial"/>
          <w:sz w:val="16"/>
          <w:szCs w:val="16"/>
          <w:color w:val="auto"/>
        </w:rPr>
        <w:t>, (i) all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all other fees payable hereunder or under any of the other Loan Documents (other than Letter of Credit Fees) shall be due and payable, in arrears, on the first day of each month, (ii) all Letter of Credit Fees payable hereunder, and all fronting fees and all commissions, other fees, charges and expenses provided for in </w:t>
      </w:r>
      <w:r>
        <w:rPr>
          <w:rFonts w:ascii="Arial" w:cs="Arial" w:eastAsia="Arial" w:hAnsi="Arial"/>
          <w:sz w:val="16"/>
          <w:szCs w:val="16"/>
          <w:u w:val="single" w:color="auto"/>
          <w:color w:val="auto"/>
        </w:rPr>
        <w:t>Section 2.11(k)</w:t>
      </w:r>
      <w:r>
        <w:rPr>
          <w:rFonts w:ascii="Arial" w:cs="Arial" w:eastAsia="Arial" w:hAnsi="Arial"/>
          <w:sz w:val="16"/>
          <w:szCs w:val="16"/>
          <w:color w:val="auto"/>
        </w:rPr>
        <w:t xml:space="preserve"> shall be due and payable, in arrears, on the first Business Day of each month, and (iii) all costs and expenses payable hereunder or under any of the other Loan Documents, and all other Lender Group Expenses shall be due and payable on the earlier of (x) the first day of the month following the date on which the applicable costs, expenses, or Lender Group Expenses were first incurred, or (y) the date on which demand therefor is made by Agent (it being acknowledged and agreed that any charging of such costs, expenses or Lender Group Expenses to the Loan Account pursuant to the provisions of the following sentence shall be deemed to constitute a demand for payment thereof for the purposes of this subclause (y)). Borrowers hereby authorize Agent, from time to time without prior notice to Borrowers, to charge to the Loan Account (A) on the first day of each month, all interest accrued during the prior month on the Revolving Loans hereunder, (B) on the first Business Day of each month, all Letter of Credit Fees accrued or chargeable hereunder during the prior month, (C) as and when incurred or accrued, all fees and costs provided for in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(D) on the first day of each month, the Unused Line Fee accrued during the prior month pursuant to </w:t>
      </w:r>
      <w:r>
        <w:rPr>
          <w:rFonts w:ascii="Arial" w:cs="Arial" w:eastAsia="Arial" w:hAnsi="Arial"/>
          <w:sz w:val="16"/>
          <w:szCs w:val="16"/>
          <w:u w:val="single" w:color="auto"/>
          <w:color w:val="auto"/>
        </w:rPr>
        <w:t>Section 2.10(b)</w:t>
      </w:r>
      <w:r>
        <w:rPr>
          <w:rFonts w:ascii="Arial" w:cs="Arial" w:eastAsia="Arial" w:hAnsi="Arial"/>
          <w:sz w:val="16"/>
          <w:szCs w:val="16"/>
          <w:color w:val="auto"/>
        </w:rPr>
        <w:t>, (E) as and when due and payable, all other fees payable hereunder or under any of the other Loan Documents, (F) as and when incurred or accrued, all other Lender Group Expenses, and (G) as and when due and payable all other payment obligations payable under any Loan Document or any Bank Product Agreement (including any amounts due and payable to the Bank Product Providers in respect of Bank Products). All amounts (including interest, fees, costs, expenses, Lender Group Expenses, or other amounts payable hereunder or under any other Loan Document or under any Bank Product Agreement) charged to the Loan Account shall thereupon constitute Revolving Loans hereunder, shall constitute Obligations hereunder, and shall initially accrue interest at the rate then applicable to Revolving Loans that are Base Rate Loans (unless and until converted into LIBOR Rate Loans in accordance with the terms of this Agreement).</w:t>
      </w:r>
    </w:p>
    <w:p>
      <w:pPr>
        <w:spacing w:after="0" w:line="171" w:lineRule="exact"/>
        <w:rPr>
          <w:rFonts w:ascii="Arial" w:cs="Arial" w:eastAsia="Arial" w:hAnsi="Arial"/>
          <w:sz w:val="16"/>
          <w:szCs w:val="16"/>
          <w:color w:val="010000"/>
        </w:rPr>
      </w:pPr>
    </w:p>
    <w:p>
      <w:pPr>
        <w:jc w:val="both"/>
        <w:ind w:firstLine="1304"/>
        <w:spacing w:after="0" w:line="261" w:lineRule="auto"/>
        <w:tabs>
          <w:tab w:leader="none" w:pos="2242" w:val="left"/>
        </w:tabs>
        <w:numPr>
          <w:ilvl w:val="0"/>
          <w:numId w:val="95"/>
        </w:numPr>
        <w:rPr>
          <w:rFonts w:ascii="Arial" w:cs="Arial" w:eastAsia="Arial" w:hAnsi="Arial"/>
          <w:sz w:val="18"/>
          <w:szCs w:val="18"/>
          <w:color w:val="010000"/>
        </w:rPr>
      </w:pPr>
      <w:r>
        <w:rPr>
          <w:rFonts w:ascii="Arial" w:cs="Arial" w:eastAsia="Arial" w:hAnsi="Arial"/>
          <w:sz w:val="18"/>
          <w:szCs w:val="18"/>
          <w:b w:val="1"/>
          <w:bCs w:val="1"/>
          <w:color w:val="auto"/>
        </w:rPr>
        <w:t>Computation</w:t>
      </w:r>
      <w:r>
        <w:rPr>
          <w:rFonts w:ascii="Arial" w:cs="Arial" w:eastAsia="Arial" w:hAnsi="Arial"/>
          <w:sz w:val="18"/>
          <w:szCs w:val="18"/>
          <w:color w:val="auto"/>
        </w:rPr>
        <w:t>. All interest and fees chargeable under the Loan Documents shall be computed on the basis of a 360 day year,</w:t>
      </w:r>
      <w:r>
        <w:rPr>
          <w:rFonts w:ascii="Arial" w:cs="Arial" w:eastAsia="Arial" w:hAnsi="Arial"/>
          <w:sz w:val="18"/>
          <w:szCs w:val="18"/>
          <w:b w:val="1"/>
          <w:bCs w:val="1"/>
          <w:color w:val="auto"/>
        </w:rPr>
        <w:t xml:space="preserve"> </w:t>
      </w:r>
      <w:r>
        <w:rPr>
          <w:rFonts w:ascii="Arial" w:cs="Arial" w:eastAsia="Arial" w:hAnsi="Arial"/>
          <w:sz w:val="18"/>
          <w:szCs w:val="18"/>
          <w:color w:val="auto"/>
        </w:rPr>
        <w:t>in each case, for the actual number of days elapsed in the period during which the interest or fees accrue. In the event the Base Rate is changed from time to time hereafter, the rates of interest hereunder based upon the Base Rate automatically and immediately shall be increased or decreased by an amount equal to such change in the Base 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1304"/>
        <w:spacing w:after="0" w:line="292" w:lineRule="auto"/>
        <w:tabs>
          <w:tab w:leader="none" w:pos="2591" w:val="left"/>
        </w:tabs>
        <w:numPr>
          <w:ilvl w:val="0"/>
          <w:numId w:val="96"/>
        </w:numPr>
        <w:rPr>
          <w:rFonts w:ascii="Arial" w:cs="Arial" w:eastAsia="Arial" w:hAnsi="Arial"/>
          <w:sz w:val="16"/>
          <w:szCs w:val="16"/>
          <w:color w:val="010000"/>
        </w:rPr>
      </w:pPr>
      <w:r>
        <w:rPr>
          <w:rFonts w:ascii="Arial" w:cs="Arial" w:eastAsia="Arial" w:hAnsi="Arial"/>
          <w:sz w:val="16"/>
          <w:szCs w:val="16"/>
          <w:b w:val="1"/>
          <w:bCs w:val="1"/>
          <w:color w:val="auto"/>
        </w:rPr>
        <w:t>Intent to Limit Charges to Maximum Lawful Rate</w:t>
      </w:r>
      <w:r>
        <w:rPr>
          <w:rFonts w:ascii="Arial" w:cs="Arial" w:eastAsia="Arial" w:hAnsi="Arial"/>
          <w:sz w:val="16"/>
          <w:szCs w:val="16"/>
          <w:color w:val="auto"/>
        </w:rPr>
        <w:t>. In no event shall the interest rate or rates payable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any other amounts paid in connection herewith, exceed the highest rate permissible under any law that a court of competent jurisdiction shall, in a final determination, deem applicable. Borrowers and the Lender Group, in executing and delivering this Agreement, intend legally to agree upon the rate or rates of interest and manner of payment stated within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anything contained herein to the contrary notwithstanding, if such rate or rates of interest or manner of payment exceeds the maximum allowable under applicable law, then, </w:t>
      </w:r>
      <w:r>
        <w:rPr>
          <w:rFonts w:ascii="Arial" w:cs="Arial" w:eastAsia="Arial" w:hAnsi="Arial"/>
          <w:sz w:val="16"/>
          <w:szCs w:val="16"/>
          <w:i w:val="1"/>
          <w:iCs w:val="1"/>
          <w:color w:val="auto"/>
        </w:rPr>
        <w:t>ipso facto</w:t>
      </w:r>
      <w:r>
        <w:rPr>
          <w:rFonts w:ascii="Arial" w:cs="Arial" w:eastAsia="Arial" w:hAnsi="Arial"/>
          <w:sz w:val="16"/>
          <w:szCs w:val="16"/>
          <w:color w:val="auto"/>
        </w:rPr>
        <w:t>, as of the date of this Agreement, Borrowers are and shall be liable only for the payment of such maximum amount as is allowed by law, and payment received from Borrowers in excess of such legal maximum, whenever received, shall be applied to reduce the principal balance of the Obligations to the extent of such excess.</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2.7 </w:t>
      </w:r>
      <w:r>
        <w:rPr>
          <w:rFonts w:ascii="Arial" w:cs="Arial" w:eastAsia="Arial" w:hAnsi="Arial"/>
          <w:sz w:val="18"/>
          <w:szCs w:val="18"/>
          <w:b w:val="1"/>
          <w:bCs w:val="1"/>
          <w:u w:val="single" w:color="auto"/>
          <w:color w:val="000000"/>
        </w:rPr>
        <w:t>Crediting Payments</w:t>
      </w:r>
      <w:r>
        <w:rPr>
          <w:rFonts w:ascii="Arial" w:cs="Arial" w:eastAsia="Arial" w:hAnsi="Arial"/>
          <w:sz w:val="18"/>
          <w:szCs w:val="18"/>
          <w:color w:val="000000"/>
        </w:rPr>
        <w:t>. The receipt of any payment item by Agent shall not be required to be considered a payment on account unless</w:t>
      </w:r>
      <w:r>
        <w:rPr>
          <w:rFonts w:ascii="Arial" w:cs="Arial" w:eastAsia="Arial" w:hAnsi="Arial"/>
          <w:sz w:val="18"/>
          <w:szCs w:val="18"/>
          <w:color w:val="010000"/>
        </w:rPr>
        <w:t xml:space="preserve"> </w:t>
      </w:r>
      <w:r>
        <w:rPr>
          <w:rFonts w:ascii="Arial" w:cs="Arial" w:eastAsia="Arial" w:hAnsi="Arial"/>
          <w:sz w:val="18"/>
          <w:szCs w:val="18"/>
          <w:color w:val="000000"/>
        </w:rPr>
        <w:t>such payment item is a wire transfer of immediately available funds made to Agent’s Account or unless and until such payment item is honored when presented for payment. Should any payment item not be honored when presented for payment, then Borrowers shall be deemed not to have made such payment. Anything to the contrary contained herein notwithstanding, any payment item shall be deemed received by Agent only if it is received into Agent’s Account on a Business Day on or before 1:30 p.m. If any payment item is received into Agent’s Account on a non-Business Day or after 1:30 p.m. on a Business Day (unless Agent, in its sole discretion, elects to credit it on the date received), it shall be deemed to have been received by Agent as of the opening of business on the immediately following Business Day.</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010000"/>
        </w:rPr>
        <w:t xml:space="preserve">2.8 </w:t>
      </w:r>
      <w:r>
        <w:rPr>
          <w:rFonts w:ascii="Arial" w:cs="Arial" w:eastAsia="Arial" w:hAnsi="Arial"/>
          <w:sz w:val="18"/>
          <w:szCs w:val="18"/>
          <w:b w:val="1"/>
          <w:bCs w:val="1"/>
          <w:u w:val="single" w:color="auto"/>
          <w:color w:val="000000"/>
        </w:rPr>
        <w:t>Designated Account</w:t>
      </w:r>
      <w:r>
        <w:rPr>
          <w:rFonts w:ascii="Arial" w:cs="Arial" w:eastAsia="Arial" w:hAnsi="Arial"/>
          <w:sz w:val="18"/>
          <w:szCs w:val="18"/>
          <w:color w:val="000000"/>
        </w:rPr>
        <w:t>. Agent is authorized to make the Revolving Loans, and Issuing Bank is authorized to issue the Letters of Credit,</w:t>
      </w:r>
      <w:r>
        <w:rPr>
          <w:rFonts w:ascii="Arial" w:cs="Arial" w:eastAsia="Arial" w:hAnsi="Arial"/>
          <w:sz w:val="18"/>
          <w:szCs w:val="18"/>
          <w:color w:val="010000"/>
        </w:rPr>
        <w:t xml:space="preserve"> </w:t>
      </w:r>
      <w:r>
        <w:rPr>
          <w:rFonts w:ascii="Arial" w:cs="Arial" w:eastAsia="Arial" w:hAnsi="Arial"/>
          <w:sz w:val="18"/>
          <w:szCs w:val="18"/>
          <w:color w:val="000000"/>
        </w:rPr>
        <w:t xml:space="preserve">under this Agreement based upon telephonic or other instructions received from anyone purporting to be an Authorized Person or, without instructions, if pursuant to </w:t>
      </w:r>
      <w:r>
        <w:rPr>
          <w:rFonts w:ascii="Arial" w:cs="Arial" w:eastAsia="Arial" w:hAnsi="Arial"/>
          <w:sz w:val="18"/>
          <w:szCs w:val="18"/>
          <w:u w:val="single" w:color="auto"/>
          <w:color w:val="000000"/>
        </w:rPr>
        <w:t>Section 2.6(d)</w:t>
      </w:r>
      <w:r>
        <w:rPr>
          <w:rFonts w:ascii="Arial" w:cs="Arial" w:eastAsia="Arial" w:hAnsi="Arial"/>
          <w:sz w:val="18"/>
          <w:szCs w:val="18"/>
          <w:color w:val="000000"/>
        </w:rPr>
        <w:t>. Borrowers agree to establish and maintain the Designated Account with the Designated Account Bank for the purpose of receiving the proceeds of the Revolving Loans requested by Borrowers and made by Agent or the Lenders hereunder. Unless otherwise agreed by Agent and Borrowers, any Revolving Loan or Swing Loan requested by Borrowers and made by Agent or the Lenders hereunder shall be made to the Designated Account.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2.9 </w:t>
      </w:r>
      <w:r>
        <w:rPr>
          <w:rFonts w:ascii="Arial" w:cs="Arial" w:eastAsia="Arial" w:hAnsi="Arial"/>
          <w:sz w:val="17"/>
          <w:szCs w:val="17"/>
          <w:b w:val="1"/>
          <w:bCs w:val="1"/>
          <w:u w:val="single" w:color="auto"/>
          <w:color w:val="000000"/>
        </w:rPr>
        <w:t>Maintenance of Loan Account; Statements of Obligations</w:t>
      </w:r>
      <w:r>
        <w:rPr>
          <w:rFonts w:ascii="Arial" w:cs="Arial" w:eastAsia="Arial" w:hAnsi="Arial"/>
          <w:sz w:val="17"/>
          <w:szCs w:val="17"/>
          <w:color w:val="000000"/>
        </w:rPr>
        <w:t>. Agent shall maintain an account on its books in the name of Borrowers</w:t>
      </w:r>
      <w:r>
        <w:rPr>
          <w:rFonts w:ascii="Arial" w:cs="Arial" w:eastAsia="Arial" w:hAnsi="Arial"/>
          <w:sz w:val="17"/>
          <w:szCs w:val="17"/>
          <w:color w:val="010000"/>
        </w:rPr>
        <w:t xml:space="preserve"> </w:t>
      </w:r>
      <w:r>
        <w:rPr>
          <w:rFonts w:ascii="Arial" w:cs="Arial" w:eastAsia="Arial" w:hAnsi="Arial"/>
          <w:sz w:val="17"/>
          <w:szCs w:val="17"/>
          <w:color w:val="000000"/>
        </w:rPr>
        <w:t>(the “</w:t>
      </w:r>
      <w:r>
        <w:rPr>
          <w:rFonts w:ascii="Arial" w:cs="Arial" w:eastAsia="Arial" w:hAnsi="Arial"/>
          <w:sz w:val="17"/>
          <w:szCs w:val="17"/>
          <w:u w:val="single" w:color="auto"/>
          <w:color w:val="000000"/>
        </w:rPr>
        <w:t>Loan Account</w:t>
      </w:r>
      <w:r>
        <w:rPr>
          <w:rFonts w:ascii="Arial" w:cs="Arial" w:eastAsia="Arial" w:hAnsi="Arial"/>
          <w:sz w:val="17"/>
          <w:szCs w:val="17"/>
          <w:color w:val="000000"/>
        </w:rPr>
        <w:t xml:space="preserve">”) on which Borrowers will be charged with all Revolving Loans (including Extraordinary Advances and Swing Loans) made by Agent, Swing Lender, or the Lenders to Borrowers or for Borrowers’ account, the Letters of Credit issued or arranged by Issuing Bank for Borrowers’ account, and with all other payment Obligations hereunder or under the other Loan Documents, including, accrued interest, fees and expenses, and Lender Group Expenses. In accordance with </w:t>
      </w:r>
      <w:r>
        <w:rPr>
          <w:rFonts w:ascii="Arial" w:cs="Arial" w:eastAsia="Arial" w:hAnsi="Arial"/>
          <w:sz w:val="17"/>
          <w:szCs w:val="17"/>
          <w:u w:val="single" w:color="auto"/>
          <w:color w:val="000000"/>
        </w:rPr>
        <w:t>Section 2.7</w:t>
      </w:r>
      <w:r>
        <w:rPr>
          <w:rFonts w:ascii="Arial" w:cs="Arial" w:eastAsia="Arial" w:hAnsi="Arial"/>
          <w:sz w:val="17"/>
          <w:szCs w:val="17"/>
          <w:color w:val="000000"/>
        </w:rPr>
        <w:t>, the Loan Account will be credited with all payments received by Agent from Borrowers or for Borrowers’ account. Agent shall make available to Borrowers monthly statements regarding the Loan Account, including the principal amount of the Revolving Loans, interest accrued hereunder, fees accrued or charged hereunder or under the other Loan Documents, and a summary itemization of all charges and expenses constituting Lender Group Expenses accrued hereunder or under the other Loan Documents, and each such statement, absent manifest error, shall be conclusively presumed to be correct and accurate and constitute an account stated between Borrowers and the Lender Group unless, within 30 days after Agent first makes such a statement available to Borrowers, Borrowers shall deliver to Agent written objection thereto describing the error or errors contained in such statement.</w:t>
      </w:r>
    </w:p>
    <w:p>
      <w:pPr>
        <w:spacing w:after="0" w:line="18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2.10</w:t>
      </w:r>
      <w:r>
        <w:rPr>
          <w:sz w:val="20"/>
          <w:szCs w:val="20"/>
          <w:color w:val="auto"/>
        </w:rPr>
        <w:tab/>
      </w:r>
      <w:r>
        <w:rPr>
          <w:rFonts w:ascii="Arial" w:cs="Arial" w:eastAsia="Arial" w:hAnsi="Arial"/>
          <w:sz w:val="15"/>
          <w:szCs w:val="15"/>
          <w:b w:val="1"/>
          <w:bCs w:val="1"/>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firstLine="1304"/>
        <w:spacing w:after="0" w:line="282" w:lineRule="auto"/>
        <w:tabs>
          <w:tab w:leader="none" w:pos="2337" w:val="left"/>
        </w:tabs>
        <w:numPr>
          <w:ilvl w:val="0"/>
          <w:numId w:val="97"/>
        </w:numPr>
        <w:rPr>
          <w:rFonts w:ascii="Arial" w:cs="Arial" w:eastAsia="Arial" w:hAnsi="Arial"/>
          <w:sz w:val="18"/>
          <w:szCs w:val="18"/>
          <w:color w:val="010000"/>
        </w:rPr>
      </w:pPr>
      <w:r>
        <w:rPr>
          <w:rFonts w:ascii="Arial" w:cs="Arial" w:eastAsia="Arial" w:hAnsi="Arial"/>
          <w:sz w:val="18"/>
          <w:szCs w:val="18"/>
          <w:b w:val="1"/>
          <w:bCs w:val="1"/>
          <w:color w:val="auto"/>
        </w:rPr>
        <w:t>Agent Fees</w:t>
      </w:r>
      <w:r>
        <w:rPr>
          <w:rFonts w:ascii="Arial" w:cs="Arial" w:eastAsia="Arial" w:hAnsi="Arial"/>
          <w:sz w:val="18"/>
          <w:szCs w:val="18"/>
          <w:color w:val="auto"/>
        </w:rPr>
        <w:t>. Borrowers shall pay to Agent, for the account of Agent, as and when due and payable under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Fee Letter, the fees set forth in the Fee Letter.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1304"/>
        <w:spacing w:after="0" w:line="258" w:lineRule="auto"/>
        <w:tabs>
          <w:tab w:leader="none" w:pos="2306" w:val="left"/>
        </w:tabs>
        <w:numPr>
          <w:ilvl w:val="0"/>
          <w:numId w:val="98"/>
        </w:numPr>
        <w:rPr>
          <w:rFonts w:ascii="Arial" w:cs="Arial" w:eastAsia="Arial" w:hAnsi="Arial"/>
          <w:sz w:val="18"/>
          <w:szCs w:val="18"/>
          <w:color w:val="010000"/>
        </w:rPr>
      </w:pPr>
      <w:r>
        <w:rPr>
          <w:rFonts w:ascii="Arial" w:cs="Arial" w:eastAsia="Arial" w:hAnsi="Arial"/>
          <w:sz w:val="18"/>
          <w:szCs w:val="18"/>
          <w:b w:val="1"/>
          <w:bCs w:val="1"/>
          <w:color w:val="auto"/>
        </w:rPr>
        <w:t>Unused Line Fee</w:t>
      </w:r>
      <w:r>
        <w:rPr>
          <w:rFonts w:ascii="Arial" w:cs="Arial" w:eastAsia="Arial" w:hAnsi="Arial"/>
          <w:sz w:val="18"/>
          <w:szCs w:val="18"/>
          <w:color w:val="auto"/>
        </w:rPr>
        <w:t>. Borrowers shall pay to Agent, for the ratable account of the Revolving Lenders, an unused line fee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Unused Line Fee</w:t>
      </w:r>
      <w:r>
        <w:rPr>
          <w:rFonts w:ascii="Arial" w:cs="Arial" w:eastAsia="Arial" w:hAnsi="Arial"/>
          <w:sz w:val="18"/>
          <w:szCs w:val="18"/>
          <w:color w:val="auto"/>
        </w:rPr>
        <w:t>”) in an amount equal to 0.375% per annum times the result of (i) the aggregate amount of the Revolver Commitments, less (ii) the Average Revolver Usage during the immediately preceding month (or portion thereof), which Unused Line Fee shall be due and payable, in arrears, on the first day of each month from and after the Closing Date up to the first day of the month prior to the date on which the Obligations are paid in full and on the date on which the Obligations are paid in full.</w:t>
      </w:r>
    </w:p>
    <w:p>
      <w:pPr>
        <w:spacing w:after="0" w:line="183" w:lineRule="exact"/>
        <w:rPr>
          <w:rFonts w:ascii="Arial" w:cs="Arial" w:eastAsia="Arial" w:hAnsi="Arial"/>
          <w:sz w:val="18"/>
          <w:szCs w:val="18"/>
          <w:color w:val="010000"/>
        </w:rPr>
      </w:pPr>
    </w:p>
    <w:p>
      <w:pPr>
        <w:jc w:val="both"/>
        <w:ind w:firstLine="1304"/>
        <w:spacing w:after="0" w:line="258" w:lineRule="auto"/>
        <w:tabs>
          <w:tab w:leader="none" w:pos="2391" w:val="left"/>
        </w:tabs>
        <w:numPr>
          <w:ilvl w:val="0"/>
          <w:numId w:val="98"/>
        </w:numPr>
        <w:rPr>
          <w:rFonts w:ascii="Arial" w:cs="Arial" w:eastAsia="Arial" w:hAnsi="Arial"/>
          <w:sz w:val="18"/>
          <w:szCs w:val="18"/>
          <w:color w:val="010000"/>
        </w:rPr>
      </w:pPr>
      <w:r>
        <w:rPr>
          <w:rFonts w:ascii="Arial" w:cs="Arial" w:eastAsia="Arial" w:hAnsi="Arial"/>
          <w:sz w:val="18"/>
          <w:szCs w:val="18"/>
          <w:b w:val="1"/>
          <w:bCs w:val="1"/>
          <w:color w:val="auto"/>
        </w:rPr>
        <w:t>Field Examination and Other Fees</w:t>
      </w:r>
      <w:r>
        <w:rPr>
          <w:rFonts w:ascii="Arial" w:cs="Arial" w:eastAsia="Arial" w:hAnsi="Arial"/>
          <w:sz w:val="18"/>
          <w:szCs w:val="18"/>
          <w:color w:val="auto"/>
        </w:rPr>
        <w:t>. Borrowers shall pay to Agent, field examination, appraisal, and valuation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charges, as and when incurred or chargeable, as follows (i) a fee of $1,000 per day, per examiner,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out-of-pocket expenses (including travel, meals, and lodging) for each field examination of any Loan Party or its Subsidiaries performed by or on behalf of Agent, and (ii) the fees, charges or expenses paid or incurred by Agent if it elects to employ the services of one or more third Persons to appraise the Collateral, or any portion thereof, or to assess any Loan Party’s or its Subsidiaries’ business valuation.</w:t>
      </w:r>
    </w:p>
    <w:p>
      <w:pPr>
        <w:spacing w:after="0" w:line="18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2.11</w:t>
      </w:r>
      <w:r>
        <w:rPr>
          <w:sz w:val="20"/>
          <w:szCs w:val="20"/>
          <w:color w:val="auto"/>
        </w:rPr>
        <w:tab/>
      </w:r>
      <w:r>
        <w:rPr>
          <w:rFonts w:ascii="Arial" w:cs="Arial" w:eastAsia="Arial" w:hAnsi="Arial"/>
          <w:sz w:val="16"/>
          <w:szCs w:val="16"/>
          <w:b w:val="1"/>
          <w:bCs w:val="1"/>
          <w:u w:val="single" w:color="auto"/>
          <w:color w:val="auto"/>
        </w:rPr>
        <w:t>Letters of Credit</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83" w:lineRule="auto"/>
        <w:tabs>
          <w:tab w:leader="none" w:pos="2377" w:val="left"/>
        </w:tabs>
        <w:numPr>
          <w:ilvl w:val="1"/>
          <w:numId w:val="99"/>
        </w:numPr>
        <w:rPr>
          <w:rFonts w:ascii="Arial" w:cs="Arial" w:eastAsia="Arial" w:hAnsi="Arial"/>
          <w:sz w:val="16"/>
          <w:szCs w:val="16"/>
          <w:color w:val="010000"/>
        </w:rPr>
      </w:pPr>
      <w:r>
        <w:rPr>
          <w:rFonts w:ascii="Arial" w:cs="Arial" w:eastAsia="Arial" w:hAnsi="Arial"/>
          <w:sz w:val="16"/>
          <w:szCs w:val="16"/>
          <w:color w:val="auto"/>
        </w:rPr>
        <w:t>Subject to the terms and conditions of this Agreement, upon the request of Borrowers made in accordance herewith, and prior to the Maturity Date, Issuing Bank agrees to issue a requested standby Letter of Credit or a sight commercial Letter of Credit for the account of Borrowers. By submitting a request to Issuing Bank for the issuance of a Letter of Credit, Borrowers shall be deemed to have requested that Issuing Bank issue the requested Letter of Credit. Each request for the issuance of a Letter of Credit, or the amendment, renewal, or extension of any outstanding Letter of Credit, shall be (i) irrevocable and made in writing by an Authorized Person, (ii) delivered to Agent and Issuing Bank via telefacsimile or other electronic method of transmission reasonably acceptable to Agent and Issuing Bank and reasonably in advance of the requested date of issuance, amendment, renewal, or extension, and (iii) subject to Issuing Bank’s authentication procedures with results satisfactory to Issuing Bank. Each such request shall be in form and substance reasonably satisfactory to Agent and Issuing Bank and (i) shall specify (A) the amount of such Letter of Credit, (B) the date of issuance, amendment, renewal, or extension of such Letter of Credit, (C) the proposed expiration date of such Letter of Credit, (D) the name and address of the beneficiary of the Letter of Credit, and (E) such other information (including, the conditions to drawing, and, in the case of an amendment, renewal, or extension, identification of the Letter of Credit to be so amended, renewed, or extended) as shall be necessary to prepare, amend, renew, or extend such Letter of Credit, and (ii) shall be accompanied by such Issuer Documents as Agent or Issuing Bank may request or require, to the extent that such requests or requirements are consistent with the Issuer Documents that Issuing Bank generally requests for Letters of Credit in similar circumstances. Issuing Bank’s records of the content of any such request will be conclusive. Anything contained herein to the contrary notwithstanding, Issuing Bank may, but shall not be obligated to, issue a Letter of Credit that supports the obligations of a Loan Party or one of its Subsidiaries in respect of (x) a lease of real property, or</w:t>
      </w:r>
    </w:p>
    <w:p>
      <w:pPr>
        <w:ind w:left="260" w:hanging="252"/>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employment contract.</w:t>
      </w:r>
    </w:p>
    <w:p>
      <w:pPr>
        <w:spacing w:after="0" w:line="210" w:lineRule="exact"/>
        <w:rPr>
          <w:rFonts w:ascii="Arial" w:cs="Arial" w:eastAsia="Arial" w:hAnsi="Arial"/>
          <w:sz w:val="18"/>
          <w:szCs w:val="18"/>
          <w:color w:val="auto"/>
        </w:rPr>
      </w:pPr>
    </w:p>
    <w:p>
      <w:pPr>
        <w:ind w:left="2240" w:hanging="936"/>
        <w:spacing w:after="0"/>
        <w:tabs>
          <w:tab w:leader="none" w:pos="2240" w:val="left"/>
        </w:tabs>
        <w:numPr>
          <w:ilvl w:val="1"/>
          <w:numId w:val="100"/>
        </w:numPr>
        <w:rPr>
          <w:rFonts w:ascii="Arial" w:cs="Arial" w:eastAsia="Arial" w:hAnsi="Arial"/>
          <w:sz w:val="16"/>
          <w:szCs w:val="16"/>
          <w:color w:val="010000"/>
        </w:rPr>
      </w:pPr>
      <w:r>
        <w:rPr>
          <w:rFonts w:ascii="Arial" w:cs="Arial" w:eastAsia="Arial" w:hAnsi="Arial"/>
          <w:sz w:val="16"/>
          <w:szCs w:val="16"/>
          <w:color w:val="auto"/>
        </w:rPr>
        <w:t>Issuing Bank shall have no obligation to issue a Letter of Credit if any of the following would result after giving effect to the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requested issuance:</w:t>
      </w:r>
    </w:p>
    <w:p>
      <w:pPr>
        <w:spacing w:after="0" w:line="210" w:lineRule="exact"/>
        <w:rPr>
          <w:rFonts w:ascii="Arial" w:cs="Arial" w:eastAsia="Arial" w:hAnsi="Arial"/>
          <w:sz w:val="16"/>
          <w:szCs w:val="16"/>
          <w:color w:val="010000"/>
        </w:rPr>
      </w:pPr>
    </w:p>
    <w:p>
      <w:pPr>
        <w:ind w:left="2880" w:hanging="928"/>
        <w:spacing w:after="0"/>
        <w:tabs>
          <w:tab w:leader="none" w:pos="288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the Letter of Credit Usage would exceed the Letter of Credit Sublimit, or</w:t>
      </w:r>
    </w:p>
    <w:p>
      <w:pPr>
        <w:spacing w:after="0" w:line="225" w:lineRule="exact"/>
        <w:rPr>
          <w:rFonts w:ascii="Arial" w:cs="Arial" w:eastAsia="Arial" w:hAnsi="Arial"/>
          <w:sz w:val="18"/>
          <w:szCs w:val="18"/>
          <w:color w:val="auto"/>
        </w:rPr>
      </w:pPr>
    </w:p>
    <w:p>
      <w:pPr>
        <w:ind w:left="2840" w:hanging="888"/>
        <w:spacing w:after="0"/>
        <w:tabs>
          <w:tab w:leader="none" w:pos="284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auto"/>
        </w:rPr>
      </w:pPr>
    </w:p>
    <w:p>
      <w:pPr>
        <w:ind w:left="2860" w:hanging="908"/>
        <w:spacing w:after="0"/>
        <w:tabs>
          <w:tab w:leader="none" w:pos="2860" w:val="left"/>
        </w:tabs>
        <w:numPr>
          <w:ilvl w:val="2"/>
          <w:numId w:val="100"/>
        </w:numPr>
        <w:rPr>
          <w:rFonts w:ascii="Arial" w:cs="Arial" w:eastAsia="Arial" w:hAnsi="Arial"/>
          <w:sz w:val="16"/>
          <w:szCs w:val="16"/>
          <w:color w:val="auto"/>
        </w:rPr>
      </w:pPr>
      <w:r>
        <w:rPr>
          <w:rFonts w:ascii="Arial" w:cs="Arial" w:eastAsia="Arial" w:hAnsi="Arial"/>
          <w:sz w:val="16"/>
          <w:szCs w:val="16"/>
          <w:color w:val="auto"/>
        </w:rPr>
        <w:t>the Letter of Credit Usage would exceed the Maximum Revolver Amount less the outstanding amount of Revolving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Loans (including Swing Loans),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ind w:firstLine="1952"/>
        <w:spacing w:after="0" w:line="277" w:lineRule="auto"/>
        <w:tabs>
          <w:tab w:leader="none" w:pos="288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the Letter of Credit Usage would exceed the Borrowing Base at such time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outstanding principal balance of the Revolving Loans (inclusive of Swing Loans) at such time.</w:t>
      </w:r>
    </w:p>
    <w:p>
      <w:pPr>
        <w:spacing w:after="0" w:line="170" w:lineRule="exact"/>
        <w:rPr>
          <w:rFonts w:ascii="Arial" w:cs="Arial" w:eastAsia="Arial" w:hAnsi="Arial"/>
          <w:sz w:val="18"/>
          <w:szCs w:val="18"/>
          <w:color w:val="auto"/>
        </w:rPr>
      </w:pPr>
    </w:p>
    <w:p>
      <w:pPr>
        <w:jc w:val="both"/>
        <w:ind w:firstLine="1304"/>
        <w:spacing w:after="0" w:line="269" w:lineRule="auto"/>
        <w:tabs>
          <w:tab w:leader="none" w:pos="2350" w:val="left"/>
        </w:tabs>
        <w:numPr>
          <w:ilvl w:val="0"/>
          <w:numId w:val="102"/>
        </w:numPr>
        <w:rPr>
          <w:rFonts w:ascii="Arial" w:cs="Arial" w:eastAsia="Arial" w:hAnsi="Arial"/>
          <w:sz w:val="17"/>
          <w:szCs w:val="17"/>
          <w:color w:val="010000"/>
        </w:rPr>
      </w:pPr>
      <w:r>
        <w:rPr>
          <w:rFonts w:ascii="Arial" w:cs="Arial" w:eastAsia="Arial" w:hAnsi="Arial"/>
          <w:sz w:val="17"/>
          <w:szCs w:val="17"/>
          <w:color w:val="auto"/>
        </w:rPr>
        <w:t xml:space="preserve">In the event there is a Defaulting Lender as of the date of any request for the issuance of a Letter of Credit, Issuing Bank shall not be required to issue or arrange for such Letter of Credit to the extent (i) the Defaulting Lender’s Letter of Credit Exposure with respect to such Letter of Credit may not be reallocated pursuant to </w:t>
      </w:r>
      <w:r>
        <w:rPr>
          <w:rFonts w:ascii="Arial" w:cs="Arial" w:eastAsia="Arial" w:hAnsi="Arial"/>
          <w:sz w:val="17"/>
          <w:szCs w:val="17"/>
          <w:u w:val="single" w:color="auto"/>
          <w:color w:val="auto"/>
        </w:rPr>
        <w:t>Section 2.3(g)(ii)</w:t>
      </w:r>
      <w:r>
        <w:rPr>
          <w:rFonts w:ascii="Arial" w:cs="Arial" w:eastAsia="Arial" w:hAnsi="Arial"/>
          <w:sz w:val="17"/>
          <w:szCs w:val="17"/>
          <w:color w:val="auto"/>
        </w:rPr>
        <w:t xml:space="preserve">, or (ii) Issuing Bank has not otherwise entered into arrangements reasonably satisfactory to it and Borrowers to eliminate Issuing Bank’s risk with respect to the participation in such Letter of Credit of the Defaulting Lender, which arrangements may include Borrowers cash collateralizing such Defaulting Lender’s Letter of Credit Exposure in accordance with </w:t>
      </w:r>
      <w:r>
        <w:rPr>
          <w:rFonts w:ascii="Arial" w:cs="Arial" w:eastAsia="Arial" w:hAnsi="Arial"/>
          <w:sz w:val="17"/>
          <w:szCs w:val="17"/>
          <w:u w:val="single" w:color="auto"/>
          <w:color w:val="auto"/>
        </w:rPr>
        <w:t>Section 2.3(g)(ii)</w:t>
      </w:r>
      <w:r>
        <w:rPr>
          <w:rFonts w:ascii="Arial" w:cs="Arial" w:eastAsia="Arial" w:hAnsi="Arial"/>
          <w:sz w:val="17"/>
          <w:szCs w:val="17"/>
          <w:color w:val="auto"/>
        </w:rPr>
        <w:t>. Additionally, Issuing Bank shall have no obligation to issue or extend a Letter of Credit if (A) any order, judgment, or decree of any Governmental Authority or arbitrator shall, by its terms, purport to enjoin or restrain Issuing Bank from issuing such Letter of Credit, or any law applicable to Issuing Bank or any request or directive (whether or not having the force of law) from any Governmental Authority with jurisdiction over Issuing Bank shall prohibit or request that Issuing Bank refrain from the issuance of letters of credit generally or such Letter of Credit in particular, or (B) the issuance of such Letter of Credit would violate one or more policies of Issuing Bank applicable to letters of credit generally.</w:t>
      </w:r>
    </w:p>
    <w:p>
      <w:pPr>
        <w:spacing w:after="0" w:line="185" w:lineRule="exact"/>
        <w:rPr>
          <w:rFonts w:ascii="Arial" w:cs="Arial" w:eastAsia="Arial" w:hAnsi="Arial"/>
          <w:sz w:val="17"/>
          <w:szCs w:val="17"/>
          <w:color w:val="010000"/>
        </w:rPr>
      </w:pPr>
    </w:p>
    <w:p>
      <w:pPr>
        <w:jc w:val="both"/>
        <w:ind w:firstLine="1304"/>
        <w:spacing w:after="0" w:line="268" w:lineRule="auto"/>
        <w:tabs>
          <w:tab w:leader="none" w:pos="2347" w:val="left"/>
        </w:tabs>
        <w:numPr>
          <w:ilvl w:val="0"/>
          <w:numId w:val="102"/>
        </w:numPr>
        <w:rPr>
          <w:rFonts w:ascii="Arial" w:cs="Arial" w:eastAsia="Arial" w:hAnsi="Arial"/>
          <w:sz w:val="17"/>
          <w:szCs w:val="17"/>
          <w:color w:val="010000"/>
        </w:rPr>
      </w:pPr>
      <w:r>
        <w:rPr>
          <w:rFonts w:ascii="Arial" w:cs="Arial" w:eastAsia="Arial" w:hAnsi="Arial"/>
          <w:sz w:val="17"/>
          <w:szCs w:val="17"/>
          <w:color w:val="auto"/>
        </w:rPr>
        <w:t xml:space="preserve">Any Issuing Bank (other than Wells Fargo or any of its Affiliates) shall notify Agent in writing no later than the Business Day prior to the Business Day on which such Issuing Bank issues any Letter of Credit. In addition, each Issuing Bank (other than Wells Fargo or any of its Affiliates) shall, on the first Business Day of each week, submit to Agent a report detailing the daily undrawn amount of each Letter of Credit issued by such Issuing Bank during the prior calendar week. Borrowers and the Lender Group hereby acknowledge and agree that all Existing Letters of Credit shall constitute Letters of Credit under this Agreement on and after the Closing Date with the same effect as if such Existing Letters of Credit were issued by Issuing Bank at the request of Borrowers on the Closing Date. Each Letter of Credit shall be in form and substance reasonably acceptable to Issuing Bank, including the requirement that the amounts payable thereunder must be payable in Dollars. If Issuing Bank makes a payment under a Letter of Credit, Borrowers shall pay to Agent an amount equal to the applicable Letter of Credit Disbursement on the Business Day such Letter of Credit Disbursement is made and, in the absence of such payment, the amount of the Letter of Credit Disbursement immediately and automatically shall be deemed to be a Revolving Loan hereunder (notwithstanding any failure to satisfy any condition precedent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and, initially, shall bear interest at the rate then applicable to Revolving Loans that are Base Rate Loans. If a Letter of Credit Disbursement is deemed to be a Revolving Loan hereunder, Borrowers’ obligation to pay the amount of such Letter of Credit Disbursement to Issuing Bank shall be automatically converted into an obligation to pay the resulting Revolving Loan. Promptly following receipt by Agent of any payment from Borrowers pursuant to this paragraph, Agent shall distribute such payment to Issuing Bank or, to the extent that Revolving Lenders have made payments pursuant to </w:t>
      </w:r>
      <w:r>
        <w:rPr>
          <w:rFonts w:ascii="Arial" w:cs="Arial" w:eastAsia="Arial" w:hAnsi="Arial"/>
          <w:sz w:val="17"/>
          <w:szCs w:val="17"/>
          <w:u w:val="single" w:color="auto"/>
          <w:color w:val="auto"/>
        </w:rPr>
        <w:t>Section 2.11(e)</w:t>
      </w:r>
      <w:r>
        <w:rPr>
          <w:rFonts w:ascii="Arial" w:cs="Arial" w:eastAsia="Arial" w:hAnsi="Arial"/>
          <w:sz w:val="17"/>
          <w:szCs w:val="17"/>
          <w:color w:val="auto"/>
        </w:rPr>
        <w:t xml:space="preserve"> to reimburse Issuing Bank, then to such Revolving Lenders and Issuing Bank as their interests may appear.</w:t>
      </w:r>
    </w:p>
    <w:p>
      <w:pPr>
        <w:spacing w:after="0" w:line="181" w:lineRule="exact"/>
        <w:rPr>
          <w:rFonts w:ascii="Arial" w:cs="Arial" w:eastAsia="Arial" w:hAnsi="Arial"/>
          <w:sz w:val="17"/>
          <w:szCs w:val="17"/>
          <w:color w:val="010000"/>
        </w:rPr>
      </w:pPr>
    </w:p>
    <w:p>
      <w:pPr>
        <w:jc w:val="both"/>
        <w:ind w:firstLine="1304"/>
        <w:spacing w:after="0" w:line="285" w:lineRule="auto"/>
        <w:tabs>
          <w:tab w:leader="none" w:pos="2458" w:val="left"/>
        </w:tabs>
        <w:numPr>
          <w:ilvl w:val="0"/>
          <w:numId w:val="102"/>
        </w:numPr>
        <w:rPr>
          <w:rFonts w:ascii="Arial" w:cs="Arial" w:eastAsia="Arial" w:hAnsi="Arial"/>
          <w:sz w:val="16"/>
          <w:szCs w:val="16"/>
          <w:color w:val="010000"/>
        </w:rPr>
      </w:pPr>
      <w:r>
        <w:rPr>
          <w:rFonts w:ascii="Arial" w:cs="Arial" w:eastAsia="Arial" w:hAnsi="Arial"/>
          <w:sz w:val="16"/>
          <w:szCs w:val="16"/>
          <w:color w:val="auto"/>
        </w:rPr>
        <w:t xml:space="preserve">Promptly following receipt of a notice of a Letter of Credit Disbursement pursuant to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each Revolving Lender agrees to fund its Pro Rata Share of any Revolving Loan deemed made pursuant to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on the same terms and conditions as if Borrowers had requested the amount thereof as a Revolving Loan and Agent shall promptly pay to Issuing Bank the amounts so received by it from the Revolving Lenders. By the issuance of a Letter of Credit (or an amendment, renewal, or extension of a Letter of Credit) and without any further action on the part of Issuing Bank or the Revolving Lenders, Issuing Bank shall be deemed to have granted to each Revolving Lender, and each Revolving Lender shall be deemed to have purchased, a participation in each Letter of Credit issued by Issuing Bank, in an amount equal to its Pro Rata Share of such Letter of Credit, and each such Revolving Lender agrees to pay to Agent, for the account of Issuing Bank, such Revolving Lender’s Pro Rata Share of any Letter of Credit Disbursement made by Issuing Bank under the applicable Letter of Credit. In consideration and in furtherance of the foregoing, each Revolving Lender hereby absolutely and unconditionally agrees to pay to Agent, for the account of Issuing Bank, such Revolving Lender’s Pro Rata Share of each Letter of Credit Disbursement made by Issuing Bank and not reimbursed by Borrowers on the date due as provided in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or of any reimbursement payment that is required to be refunded (or that Agent or Issuing Bank elects, based upon the advice of counsel, to refund) to Borrowers for any reason. Each Revolving Lender acknowledges and agrees that its obligation to deliver to Agent, for the account of Issuing Bank, an amount equal to its respective Pro Rata Share of each Letter of Credit Disbursement pursuant to this </w:t>
      </w:r>
      <w:r>
        <w:rPr>
          <w:rFonts w:ascii="Arial" w:cs="Arial" w:eastAsia="Arial" w:hAnsi="Arial"/>
          <w:sz w:val="16"/>
          <w:szCs w:val="16"/>
          <w:u w:val="single" w:color="auto"/>
          <w:color w:val="auto"/>
        </w:rPr>
        <w:t>Section 2.11(e)</w:t>
      </w:r>
      <w:r>
        <w:rPr>
          <w:rFonts w:ascii="Arial" w:cs="Arial" w:eastAsia="Arial" w:hAnsi="Arial"/>
          <w:sz w:val="16"/>
          <w:szCs w:val="16"/>
          <w:color w:val="auto"/>
        </w:rPr>
        <w:t xml:space="preserve"> shall be absolute and unconditional and such remittance shall be made notwithstanding the occurrence or continuation of an Event of Default or Default or the failure to satisfy any condition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If any such Revolving Lender fails to make available to Agent the amount of such Revolving Lender’s Pro Rata Share of a Letter of Credit Disbursement as provided in this Section, such Revolving Lender shall be deemed to be a Defaulting Lender and Agent (for the account of Issuing Bank) shall be entitled to recover such amount on demand from such Revolving Lender together with interest thereon at the Defaulting Lender Rate until paid in full.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jc w:val="both"/>
        <w:ind w:firstLine="1304"/>
        <w:spacing w:after="0" w:line="291" w:lineRule="auto"/>
        <w:tabs>
          <w:tab w:leader="none" w:pos="2335" w:val="left"/>
        </w:tabs>
        <w:numPr>
          <w:ilvl w:val="0"/>
          <w:numId w:val="103"/>
        </w:numPr>
        <w:rPr>
          <w:rFonts w:ascii="Arial" w:cs="Arial" w:eastAsia="Arial" w:hAnsi="Arial"/>
          <w:sz w:val="16"/>
          <w:szCs w:val="16"/>
          <w:color w:val="010000"/>
        </w:rPr>
      </w:pPr>
      <w:r>
        <w:rPr>
          <w:rFonts w:ascii="Arial" w:cs="Arial" w:eastAsia="Arial" w:hAnsi="Arial"/>
          <w:sz w:val="16"/>
          <w:szCs w:val="16"/>
          <w:color w:val="auto"/>
        </w:rPr>
        <w:t>Each Borrower agrees to indemnify, defend and hold harmless each member of the Lender Group (including Issuing Bank and its branches, Affiliates, and correspondents) and each such Person’s respective directors, officers, employees, attorneys and agents (each, including Issuing Bank, a “</w:t>
      </w:r>
      <w:r>
        <w:rPr>
          <w:rFonts w:ascii="Arial" w:cs="Arial" w:eastAsia="Arial" w:hAnsi="Arial"/>
          <w:sz w:val="16"/>
          <w:szCs w:val="16"/>
          <w:u w:val="single" w:color="auto"/>
          <w:color w:val="auto"/>
        </w:rPr>
        <w:t>Letter of Credit Related Person</w:t>
      </w:r>
      <w:r>
        <w:rPr>
          <w:rFonts w:ascii="Arial" w:cs="Arial" w:eastAsia="Arial" w:hAnsi="Arial"/>
          <w:sz w:val="16"/>
          <w:szCs w:val="16"/>
          <w:color w:val="auto"/>
        </w:rPr>
        <w:t xml:space="preserve">”)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which may be incurred by or awarded against any such Letter of Credit Related Person (other than Taxes, which shall be governed by </w:t>
      </w:r>
      <w:r>
        <w:rPr>
          <w:rFonts w:ascii="Arial" w:cs="Arial" w:eastAsia="Arial" w:hAnsi="Arial"/>
          <w:sz w:val="16"/>
          <w:szCs w:val="16"/>
          <w:u w:val="single" w:color="auto"/>
          <w:color w:val="auto"/>
        </w:rPr>
        <w:t>Section 16</w:t>
      </w:r>
      <w:r>
        <w:rPr>
          <w:rFonts w:ascii="Arial" w:cs="Arial" w:eastAsia="Arial" w:hAnsi="Arial"/>
          <w:sz w:val="16"/>
          <w:szCs w:val="16"/>
          <w:color w:val="auto"/>
        </w:rPr>
        <w:t>) (the “</w:t>
      </w:r>
      <w:r>
        <w:rPr>
          <w:rFonts w:ascii="Arial" w:cs="Arial" w:eastAsia="Arial" w:hAnsi="Arial"/>
          <w:sz w:val="16"/>
          <w:szCs w:val="16"/>
          <w:u w:val="single" w:color="auto"/>
          <w:color w:val="auto"/>
        </w:rPr>
        <w:t>Letter of Credit Indemnified Costs</w:t>
      </w:r>
      <w:r>
        <w:rPr>
          <w:rFonts w:ascii="Arial" w:cs="Arial" w:eastAsia="Arial" w:hAnsi="Arial"/>
          <w:sz w:val="16"/>
          <w:szCs w:val="16"/>
          <w:color w:val="auto"/>
        </w:rPr>
        <w:t>”), and which arise out of or in connection with, or as a result of:</w:t>
      </w:r>
    </w:p>
    <w:p>
      <w:pPr>
        <w:spacing w:after="0" w:line="166" w:lineRule="exact"/>
        <w:rPr>
          <w:rFonts w:ascii="Arial" w:cs="Arial" w:eastAsia="Arial" w:hAnsi="Arial"/>
          <w:sz w:val="16"/>
          <w:szCs w:val="16"/>
          <w:color w:val="010000"/>
        </w:rPr>
      </w:pPr>
    </w:p>
    <w:p>
      <w:pPr>
        <w:ind w:left="2980" w:hanging="1028"/>
        <w:spacing w:after="0"/>
        <w:tabs>
          <w:tab w:leader="none" w:pos="2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Letter of Credit or any pre-advice of its issuance;</w:t>
      </w:r>
    </w:p>
    <w:p>
      <w:pPr>
        <w:spacing w:after="0" w:line="225" w:lineRule="exact"/>
        <w:rPr>
          <w:rFonts w:ascii="Arial" w:cs="Arial" w:eastAsia="Arial" w:hAnsi="Arial"/>
          <w:sz w:val="18"/>
          <w:szCs w:val="18"/>
          <w:color w:val="auto"/>
        </w:rPr>
      </w:pPr>
    </w:p>
    <w:p>
      <w:pPr>
        <w:ind w:firstLine="1952"/>
        <w:spacing w:after="0" w:line="277" w:lineRule="auto"/>
        <w:tabs>
          <w:tab w:leader="none" w:pos="306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transfer, sale, delivery, surrender or endorsement (or lack thereof) of any Drawing Document at any time(s) held by any such Letter of Credit Related Person in connection with any Letter of Credit;</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321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action or proceeding arising out of, or in connection with, any Letter of Credit (whether administrative, judicial or in connection with arbitration), including any action or proceeding to compel or restrain any presentation or payment under any Letter of Credit, or for the wrongful dishonor of, or honoring a presentation under, any Letter of Credit;</w:t>
      </w:r>
    </w:p>
    <w:p>
      <w:pPr>
        <w:spacing w:after="0" w:line="183" w:lineRule="exact"/>
        <w:rPr>
          <w:rFonts w:ascii="Arial" w:cs="Arial" w:eastAsia="Arial" w:hAnsi="Arial"/>
          <w:sz w:val="18"/>
          <w:szCs w:val="18"/>
          <w:color w:val="auto"/>
        </w:rPr>
      </w:pPr>
    </w:p>
    <w:p>
      <w:pPr>
        <w:ind w:left="2940" w:hanging="988"/>
        <w:spacing w:after="0"/>
        <w:tabs>
          <w:tab w:leader="none" w:pos="29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independent undertakings issued by the beneficiary of any Letter of Credit;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95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unauthorized instruction or request made to Issuing Bank in connection with any Letter of Credit or requested Letter of Credit, or any error, omission, interruption or delay in such instruction or request, whether transmitted by mail, courier, electronic transmission, SWIFT, or any other telecommunication including communications through a correspondent;</w:t>
      </w:r>
    </w:p>
    <w:p>
      <w:pPr>
        <w:spacing w:after="0" w:line="183" w:lineRule="exact"/>
        <w:rPr>
          <w:rFonts w:ascii="Arial" w:cs="Arial" w:eastAsia="Arial" w:hAnsi="Arial"/>
          <w:sz w:val="18"/>
          <w:szCs w:val="18"/>
          <w:color w:val="auto"/>
        </w:rPr>
      </w:pPr>
    </w:p>
    <w:p>
      <w:pPr>
        <w:ind w:left="2940" w:hanging="988"/>
        <w:spacing w:after="0"/>
        <w:tabs>
          <w:tab w:leader="none" w:pos="294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an adviser, confirmer or other nominated person seeking to be reimbursed, indemnified or compensated;</w:t>
      </w:r>
    </w:p>
    <w:p>
      <w:pPr>
        <w:spacing w:after="0" w:line="236" w:lineRule="exact"/>
        <w:rPr>
          <w:rFonts w:ascii="Arial" w:cs="Arial" w:eastAsia="Arial" w:hAnsi="Arial"/>
          <w:sz w:val="17"/>
          <w:szCs w:val="17"/>
          <w:color w:val="auto"/>
        </w:rPr>
      </w:pPr>
    </w:p>
    <w:p>
      <w:pPr>
        <w:ind w:right="20" w:firstLine="1952"/>
        <w:spacing w:after="0" w:line="277" w:lineRule="auto"/>
        <w:tabs>
          <w:tab w:leader="none" w:pos="296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third party seeking to enforce the rights of an applicant, beneficiary, nominated person, transferee, assignee of Letter of Credit proceeds or holder of an instrument or document;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ind w:left="2940" w:hanging="988"/>
        <w:spacing w:after="0"/>
        <w:tabs>
          <w:tab w:leader="none" w:pos="29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fraud, forgery or illegal action of parties other than the Letter of Credit Related Person;</w:t>
      </w:r>
    </w:p>
    <w:p>
      <w:pPr>
        <w:spacing w:after="0" w:line="225" w:lineRule="exact"/>
        <w:rPr>
          <w:rFonts w:ascii="Arial" w:cs="Arial" w:eastAsia="Arial" w:hAnsi="Arial"/>
          <w:sz w:val="18"/>
          <w:szCs w:val="18"/>
          <w:color w:val="auto"/>
        </w:rPr>
      </w:pPr>
    </w:p>
    <w:p>
      <w:pPr>
        <w:ind w:left="3200" w:hanging="1248"/>
        <w:spacing w:after="0"/>
        <w:tabs>
          <w:tab w:leader="none" w:pos="32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any prohibition on payment or delay in payment of any amount payable by Issuing Bank to a beneficiary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transferee beneficiary of a Letter of Credit arising out of Anti-Corruption Laws, Anti-Money Laundering Laws, or Sanctions;</w:t>
      </w:r>
    </w:p>
    <w:p>
      <w:pPr>
        <w:spacing w:after="0" w:line="210" w:lineRule="exact"/>
        <w:rPr>
          <w:rFonts w:ascii="Arial" w:cs="Arial" w:eastAsia="Arial" w:hAnsi="Arial"/>
          <w:sz w:val="17"/>
          <w:szCs w:val="17"/>
          <w:color w:val="auto"/>
        </w:rPr>
      </w:pPr>
    </w:p>
    <w:p>
      <w:pPr>
        <w:ind w:left="3140" w:hanging="1188"/>
        <w:spacing w:after="0"/>
        <w:tabs>
          <w:tab w:leader="none" w:pos="31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Issuing Bank’s performance of the obligations of a confirming institution or entity that wrongfully dishonors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confirmation;</w:t>
      </w:r>
    </w:p>
    <w:p>
      <w:pPr>
        <w:spacing w:after="0" w:line="210" w:lineRule="exact"/>
        <w:rPr>
          <w:rFonts w:ascii="Arial" w:cs="Arial" w:eastAsia="Arial" w:hAnsi="Arial"/>
          <w:sz w:val="17"/>
          <w:szCs w:val="17"/>
          <w:color w:val="auto"/>
        </w:rPr>
      </w:pPr>
    </w:p>
    <w:p>
      <w:pPr>
        <w:ind w:left="2980" w:hanging="1028"/>
        <w:spacing w:after="0"/>
        <w:tabs>
          <w:tab w:leader="none" w:pos="2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foreign language translation provided to Issuing Bank in connection with any Letter of Credit;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317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foreign law or usage as it relates to Issuing Bank’s issuance of a Letter of Credit in support of a foreign guaranty including without limitation the expiration of such guaranty after the related Letter of Credit expiration date and any resulting drawing paid by Issuing Bank in connection therewith; or</w:t>
      </w:r>
    </w:p>
    <w:p>
      <w:pPr>
        <w:spacing w:after="0" w:line="183" w:lineRule="exact"/>
        <w:rPr>
          <w:rFonts w:ascii="Arial" w:cs="Arial" w:eastAsia="Arial" w:hAnsi="Arial"/>
          <w:sz w:val="18"/>
          <w:szCs w:val="18"/>
          <w:color w:val="auto"/>
        </w:rPr>
      </w:pPr>
    </w:p>
    <w:p>
      <w:pPr>
        <w:ind w:firstLine="1952"/>
        <w:spacing w:after="0" w:line="277" w:lineRule="auto"/>
        <w:tabs>
          <w:tab w:leader="none" w:pos="301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acts or omissions, whether rightful or wrongful, of any present or future de jure or de facto governmental or regulatory authority or cause or event beyond the control of the Letter of Credit Related Person;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be available to any Letter of Credit Related Person claiming indemnification under clauses (i) through (x) above to the extent that such Letter of Credit Indemnified Costs may be finally determined in a final, non-appealable judgment of a court of competent jurisdiction to have resulted directly from the gross negligence or willful misconduct of the Letter of Credit Related Person claiming indemnity. Borrowers hereby agree to pay the Letter of Credit Related Person claiming indemnity on demand from time to time all amounts owing under this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If and to the extent that the obligations of Borrowers under this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are unenforceable for any reason, Borrowers agree to make the maximum contribution to the Letter of Credit Indemnified Costs permissible under applicable law. This indemnification provision shall survive termination of this Agreement and all Letters of Credit.</w:t>
      </w:r>
    </w:p>
    <w:p>
      <w:pPr>
        <w:spacing w:after="0" w:line="195" w:lineRule="exact"/>
        <w:rPr>
          <w:sz w:val="20"/>
          <w:szCs w:val="20"/>
          <w:color w:val="auto"/>
        </w:rPr>
      </w:pPr>
    </w:p>
    <w:p>
      <w:pPr>
        <w:jc w:val="both"/>
        <w:ind w:firstLine="1304"/>
        <w:spacing w:after="0" w:line="286" w:lineRule="auto"/>
        <w:tabs>
          <w:tab w:leader="none" w:pos="2320" w:val="left"/>
        </w:tabs>
        <w:numPr>
          <w:ilvl w:val="0"/>
          <w:numId w:val="105"/>
        </w:numPr>
        <w:rPr>
          <w:rFonts w:ascii="Arial" w:cs="Arial" w:eastAsia="Arial" w:hAnsi="Arial"/>
          <w:sz w:val="16"/>
          <w:szCs w:val="16"/>
          <w:color w:val="010000"/>
        </w:rPr>
      </w:pPr>
      <w:r>
        <w:rPr>
          <w:rFonts w:ascii="Arial" w:cs="Arial" w:eastAsia="Arial" w:hAnsi="Arial"/>
          <w:sz w:val="16"/>
          <w:szCs w:val="16"/>
          <w:color w:val="auto"/>
        </w:rPr>
        <w:t xml:space="preserve">The liability of Issuing Bank (or any other Letter of Credit Related Person) under, in connection with or arising out of any Letter of Credit (or pre-advice), regardless of the form or legal grounds of the action or proceeding, shall be limited to direct damages suffered by Borrowers that are caused directly by Issuing Bank’s gross negligence or willful misconduct in (i) honoring a presentation under a Letter of Credit that on its face does not at least substantially comply with the terms and conditions of such Letter of Credit, (ii) failing to honor a presentation under a Letter of Credit that strictly complies with the terms and conditions of such Letter of Credit, or (iii) retaining Drawing Documents presented under a Letter of Credit. Borrowers’ aggregate remedies against Issuing Bank and any Letter of Credit Related Person for wrongfully honoring a presentation under any Letter of Credit or wrongfully retaining honored Drawing Documents shall in no event exceed the aggregate amount paid by Borrowers to Issuing Bank in respect of the honored presentation in connection with such Letter of Credit under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interest at the rate then applicable to Base Rate Loans hereunder. Borrowers shall take action to avoid and mitigate the amount of any damages claimed against Issuing Bank or any other Letter of Credit Related Person, including by enforcing its rights against the beneficiaries of the Letters of Credit. Any claim by Borrowers under or in connection with any Letter of Credit shall be reduced by an amount equal to the sum of (x) the amount (if any) saved by Borrowers as a result of the breach or alleged wrongful conduct complained of, and (y) the amount (if any) of the loss that would have been avoided had Borrowers taken all reasonable steps to mitigate any loss, and in case of a claim of wrongful dishonor, by specifically and timely authorizing Issuing Bank to effect a cure.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jc w:val="both"/>
        <w:ind w:firstLine="1304"/>
        <w:spacing w:after="0" w:line="286" w:lineRule="auto"/>
        <w:tabs>
          <w:tab w:leader="none" w:pos="2306" w:val="left"/>
        </w:tabs>
        <w:numPr>
          <w:ilvl w:val="0"/>
          <w:numId w:val="106"/>
        </w:numPr>
        <w:rPr>
          <w:rFonts w:ascii="Arial" w:cs="Arial" w:eastAsia="Arial" w:hAnsi="Arial"/>
          <w:sz w:val="16"/>
          <w:szCs w:val="16"/>
          <w:color w:val="010000"/>
        </w:rPr>
      </w:pPr>
      <w:r>
        <w:rPr>
          <w:rFonts w:ascii="Arial" w:cs="Arial" w:eastAsia="Arial" w:hAnsi="Arial"/>
          <w:sz w:val="16"/>
          <w:szCs w:val="16"/>
          <w:color w:val="auto"/>
        </w:rPr>
        <w:t>Borrowers are responsible for the final text of the Letter of Credit as issued by Issuing Bank, irrespective of any assistance Issuing Bank may provide such as drafting or recommending text or by Issuing Bank’s use or refusal to use text submitted by Borrowers. Borrowers understand that the final form of any Letter of Credit may be subject to such revisions and changes as are deemed necessary or appropriate by Issuing Bank, and Borrowers hereby consent to such revisions and changes not materially different from the application executed in connection therewith. Borrowers are solely responsible for the suitability of the Letter of Credit for Borrowers’ purposes. If Borrowers request Issuing Bank to issue a Letter of Credit for an affiliated or unaffiliated third party (an “</w:t>
      </w:r>
      <w:r>
        <w:rPr>
          <w:rFonts w:ascii="Arial" w:cs="Arial" w:eastAsia="Arial" w:hAnsi="Arial"/>
          <w:sz w:val="16"/>
          <w:szCs w:val="16"/>
          <w:u w:val="single" w:color="auto"/>
          <w:color w:val="auto"/>
        </w:rPr>
        <w:t>Account Party</w:t>
      </w:r>
      <w:r>
        <w:rPr>
          <w:rFonts w:ascii="Arial" w:cs="Arial" w:eastAsia="Arial" w:hAnsi="Arial"/>
          <w:sz w:val="16"/>
          <w:szCs w:val="16"/>
          <w:color w:val="auto"/>
        </w:rPr>
        <w:t>”), (i) such Account Party shall have no rights against Issuing Bank; (ii) Borrowers shall be responsible for the application and obligations under this Agreement; and (iii) communications (including notices) related to the respective Letter of Credit shall be among Issuing Bank and Borrowers. Borrowers will examine the copy of the Letter of Credit and any other documents sent by Issuing Bank in connection therewith and shall promptly notify Issuing Bank (not later than three (3) Business Days following Borrowers’ receipt of documents from Issuing Bank) of any non-compliance with Borrowers’ instructions and of any discrepancy in any document under any presentment or other irregularity. Borrowers understand and agree that Issuing Bank is not required to extend the expiration date of any Letter of Credit for any reason. With respect to any Letter of Credit containing an “automatic amendment” to extend the expiration date of such Letter of Credit, Issuing Bank, in its sole and absolute discretion, may give notice of nonrenewal of such Letter of Credit and, if Borrowers do not at any time want the then current expiration date of such Letter of Credit to be extended, Borrowers will so notify Agent and Issuing Bank at least 30 calendar days before Issuing Bank is required to notify the beneficiary of such Letter of Credit or any advising bank of such non-extension pursuant to the terms of such Letter of Credit.</w:t>
      </w:r>
    </w:p>
    <w:p>
      <w:pPr>
        <w:spacing w:after="0" w:line="167" w:lineRule="exact"/>
        <w:rPr>
          <w:rFonts w:ascii="Arial" w:cs="Arial" w:eastAsia="Arial" w:hAnsi="Arial"/>
          <w:sz w:val="16"/>
          <w:szCs w:val="16"/>
          <w:color w:val="010000"/>
        </w:rPr>
      </w:pPr>
    </w:p>
    <w:p>
      <w:pPr>
        <w:ind w:firstLine="1304"/>
        <w:spacing w:after="0" w:line="308" w:lineRule="auto"/>
        <w:tabs>
          <w:tab w:leader="none" w:pos="2271" w:val="left"/>
        </w:tabs>
        <w:numPr>
          <w:ilvl w:val="0"/>
          <w:numId w:val="106"/>
        </w:numPr>
        <w:rPr>
          <w:rFonts w:ascii="Arial" w:cs="Arial" w:eastAsia="Arial" w:hAnsi="Arial"/>
          <w:sz w:val="17"/>
          <w:szCs w:val="17"/>
          <w:color w:val="010000"/>
        </w:rPr>
      </w:pPr>
      <w:r>
        <w:rPr>
          <w:rFonts w:ascii="Arial" w:cs="Arial" w:eastAsia="Arial" w:hAnsi="Arial"/>
          <w:sz w:val="17"/>
          <w:szCs w:val="17"/>
          <w:color w:val="auto"/>
        </w:rPr>
        <w:t xml:space="preserve">Borrowers’ reimbursement and payment obligations under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are absolute, unconditional and irrevocable and shall be performed strictly in accordance with the terms of this Agreement under any and all circumstances whatsoever, including:</w:t>
      </w:r>
    </w:p>
    <w:p>
      <w:pPr>
        <w:spacing w:after="0" w:line="146" w:lineRule="exact"/>
        <w:rPr>
          <w:rFonts w:ascii="Arial" w:cs="Arial" w:eastAsia="Arial" w:hAnsi="Arial"/>
          <w:sz w:val="17"/>
          <w:szCs w:val="17"/>
          <w:color w:val="010000"/>
        </w:rPr>
      </w:pPr>
    </w:p>
    <w:p>
      <w:pPr>
        <w:ind w:right="20" w:firstLine="1952"/>
        <w:spacing w:after="0" w:line="277" w:lineRule="auto"/>
        <w:tabs>
          <w:tab w:leader="none" w:pos="295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lack of validity, enforceability or legal effect of any Letter of Credit, any Issuer Document, this Agreement, or any Loan Document, or any term or provision therein or herein;</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300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payment against presentation of any draft, demand or claim for payment under any Drawing Document that does not comply in whole or in part with the terms of the applicable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Letter of Credit;</w:t>
      </w:r>
    </w:p>
    <w:p>
      <w:pPr>
        <w:spacing w:after="0" w:line="186" w:lineRule="exact"/>
        <w:rPr>
          <w:rFonts w:ascii="Arial" w:cs="Arial" w:eastAsia="Arial" w:hAnsi="Arial"/>
          <w:sz w:val="18"/>
          <w:szCs w:val="18"/>
          <w:color w:val="auto"/>
        </w:rPr>
      </w:pPr>
    </w:p>
    <w:p>
      <w:pPr>
        <w:ind w:left="2980" w:hanging="1028"/>
        <w:spacing w:after="0"/>
        <w:tabs>
          <w:tab w:leader="none" w:pos="29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Issuing Bank or any of its branches or Affiliates being the beneficiary of any Letter of Credit;</w:t>
      </w:r>
    </w:p>
    <w:p>
      <w:pPr>
        <w:spacing w:after="0" w:line="225" w:lineRule="exact"/>
        <w:rPr>
          <w:rFonts w:ascii="Arial" w:cs="Arial" w:eastAsia="Arial" w:hAnsi="Arial"/>
          <w:sz w:val="18"/>
          <w:szCs w:val="18"/>
          <w:color w:val="auto"/>
        </w:rPr>
      </w:pPr>
    </w:p>
    <w:p>
      <w:pPr>
        <w:ind w:firstLine="1952"/>
        <w:spacing w:after="0" w:line="308" w:lineRule="auto"/>
        <w:tabs>
          <w:tab w:leader="none" w:pos="3031" w:val="left"/>
        </w:tabs>
        <w:numPr>
          <w:ilvl w:val="1"/>
          <w:numId w:val="106"/>
        </w:numPr>
        <w:rPr>
          <w:rFonts w:ascii="Arial" w:cs="Arial" w:eastAsia="Arial" w:hAnsi="Arial"/>
          <w:sz w:val="17"/>
          <w:szCs w:val="17"/>
          <w:color w:val="auto"/>
        </w:rPr>
      </w:pPr>
      <w:r>
        <w:rPr>
          <w:rFonts w:ascii="Arial" w:cs="Arial" w:eastAsia="Arial" w:hAnsi="Arial"/>
          <w:sz w:val="17"/>
          <w:szCs w:val="17"/>
          <w:color w:val="auto"/>
        </w:rPr>
        <w:t>Issuing Bank or any correspondent honoring a drawing against a Drawing Document up to the amount available under any Letter of Credit even if such Drawing Document claims an amount in excess of the amount available under the Letter of Credit;</w:t>
      </w:r>
    </w:p>
    <w:p>
      <w:pPr>
        <w:spacing w:after="0" w:line="146" w:lineRule="exact"/>
        <w:rPr>
          <w:rFonts w:ascii="Arial" w:cs="Arial" w:eastAsia="Arial" w:hAnsi="Arial"/>
          <w:sz w:val="17"/>
          <w:szCs w:val="17"/>
          <w:color w:val="auto"/>
        </w:rPr>
      </w:pPr>
    </w:p>
    <w:p>
      <w:pPr>
        <w:ind w:right="20" w:firstLine="1952"/>
        <w:spacing w:after="0" w:line="277" w:lineRule="auto"/>
        <w:tabs>
          <w:tab w:leader="none" w:pos="293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that any Loan Party or any of its Subsidiaries may have at any time against any beneficiary or transferee beneficiary, any assignee of proceeds, Issuing Bank or any other Person;</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91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Issuing Bank or any correspondent honoring a drawing upon receipt of an electronic presentation under a Letter of Credit requiring the same, regardless of whether the original Drawing Documents arrive at Issuing Bank’s counters or are different from the electronic presentation;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both"/>
        <w:ind w:firstLine="1952"/>
        <w:spacing w:after="0" w:line="259" w:lineRule="auto"/>
        <w:tabs>
          <w:tab w:leader="none" w:pos="289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any other event, circumstance or conduct whatsoever, whether or not similar to any of the foregoing that might, but for this </w:t>
      </w:r>
      <w:r>
        <w:rPr>
          <w:rFonts w:ascii="Arial" w:cs="Arial" w:eastAsia="Arial" w:hAnsi="Arial"/>
          <w:sz w:val="18"/>
          <w:szCs w:val="18"/>
          <w:u w:val="single" w:color="auto"/>
          <w:color w:val="auto"/>
        </w:rPr>
        <w:t>Section 2.11(i)</w:t>
      </w:r>
      <w:r>
        <w:rPr>
          <w:rFonts w:ascii="Arial" w:cs="Arial" w:eastAsia="Arial" w:hAnsi="Arial"/>
          <w:sz w:val="18"/>
          <w:szCs w:val="18"/>
          <w:color w:val="auto"/>
        </w:rPr>
        <w:t>, constitute a legal or equitable defense to or discharge of, or provide a right of set-off against, any Borrower’s or any of its Subsidiaries’ reimbursement and other payment obligations and liabilities, arising under, or in connection with, any Letter of Credit, whether against Issuing Bank, the beneficiary or any other Person; or</w:t>
      </w:r>
    </w:p>
    <w:p>
      <w:pPr>
        <w:spacing w:after="0" w:line="186" w:lineRule="exact"/>
        <w:rPr>
          <w:rFonts w:ascii="Arial" w:cs="Arial" w:eastAsia="Arial" w:hAnsi="Arial"/>
          <w:sz w:val="18"/>
          <w:szCs w:val="18"/>
          <w:color w:val="auto"/>
        </w:rPr>
      </w:pPr>
    </w:p>
    <w:p>
      <w:pPr>
        <w:ind w:left="2940" w:hanging="988"/>
        <w:spacing w:after="0"/>
        <w:tabs>
          <w:tab w:leader="none" w:pos="29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fact that any Default or Event of Default shall have occurred and be continuing;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2.11(g)</w:t>
      </w:r>
      <w:r>
        <w:rPr>
          <w:rFonts w:ascii="Arial" w:cs="Arial" w:eastAsia="Arial" w:hAnsi="Arial"/>
          <w:sz w:val="18"/>
          <w:szCs w:val="18"/>
          <w:color w:val="auto"/>
        </w:rPr>
        <w:t xml:space="preserve"> above, the foregoing shall not release Issuing Bank from such liability to Borrowers as may be finally determined in a final, non-appealable judgment of a court of competent jurisdiction against Issuing Bank following reimbursement or payment of the obligations and liabilities, including reimbursement and other payment obligations, of Borrowers to Issuing Bank arising under, or in connection with,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any Letter of Credit.</w:t>
      </w:r>
    </w:p>
    <w:p>
      <w:pPr>
        <w:spacing w:after="0" w:line="187" w:lineRule="exact"/>
        <w:rPr>
          <w:sz w:val="20"/>
          <w:szCs w:val="20"/>
          <w:color w:val="auto"/>
        </w:rPr>
      </w:pPr>
    </w:p>
    <w:p>
      <w:pPr>
        <w:jc w:val="both"/>
        <w:ind w:firstLine="1304"/>
        <w:spacing w:after="0" w:line="263" w:lineRule="auto"/>
        <w:tabs>
          <w:tab w:leader="none" w:pos="2406" w:val="left"/>
        </w:tabs>
        <w:numPr>
          <w:ilvl w:val="1"/>
          <w:numId w:val="108"/>
        </w:numPr>
        <w:rPr>
          <w:rFonts w:ascii="Arial" w:cs="Arial" w:eastAsia="Arial" w:hAnsi="Arial"/>
          <w:sz w:val="18"/>
          <w:szCs w:val="18"/>
          <w:color w:val="010000"/>
        </w:rPr>
      </w:pPr>
      <w:r>
        <w:rPr>
          <w:rFonts w:ascii="Arial" w:cs="Arial" w:eastAsia="Arial" w:hAnsi="Arial"/>
          <w:sz w:val="18"/>
          <w:szCs w:val="18"/>
          <w:color w:val="auto"/>
        </w:rPr>
        <w:t>Without limiting any other provision of this Agreement, Issuing Bank and each other Letter of Credit Related Person (if applicable) shall not be responsible to Borrowers for, and Issuing Bank’s rights and remedies against Borrowers and the obligation of Borrowers to reimburse Issuing Bank for each drawing under each Letter of Credit shall not be impaired by:</w:t>
      </w:r>
    </w:p>
    <w:p>
      <w:pPr>
        <w:spacing w:after="0" w:line="183" w:lineRule="exact"/>
        <w:rPr>
          <w:rFonts w:ascii="Arial" w:cs="Arial" w:eastAsia="Arial" w:hAnsi="Arial"/>
          <w:sz w:val="18"/>
          <w:szCs w:val="18"/>
          <w:color w:val="010000"/>
        </w:rPr>
      </w:pPr>
    </w:p>
    <w:p>
      <w:pPr>
        <w:ind w:right="20" w:firstLine="1952"/>
        <w:spacing w:after="0" w:line="277" w:lineRule="auto"/>
        <w:tabs>
          <w:tab w:leader="none" w:pos="3207" w:val="left"/>
        </w:tabs>
        <w:numPr>
          <w:ilvl w:val="2"/>
          <w:numId w:val="108"/>
        </w:numPr>
        <w:rPr>
          <w:rFonts w:ascii="Arial" w:cs="Arial" w:eastAsia="Arial" w:hAnsi="Arial"/>
          <w:sz w:val="18"/>
          <w:szCs w:val="18"/>
          <w:color w:val="auto"/>
        </w:rPr>
      </w:pPr>
      <w:r>
        <w:rPr>
          <w:rFonts w:ascii="Arial" w:cs="Arial" w:eastAsia="Arial" w:hAnsi="Arial"/>
          <w:sz w:val="18"/>
          <w:szCs w:val="18"/>
          <w:color w:val="auto"/>
        </w:rPr>
        <w:t>honor of a presentation under any Letter of Credit that on its face substantially complies with the terms and conditions of such Letter of Credit, even if the Letter of Credit requires strict compliance by the beneficiary;</w:t>
      </w:r>
    </w:p>
    <w:p>
      <w:pPr>
        <w:spacing w:after="0" w:line="170" w:lineRule="exact"/>
        <w:rPr>
          <w:rFonts w:ascii="Arial" w:cs="Arial" w:eastAsia="Arial" w:hAnsi="Arial"/>
          <w:sz w:val="18"/>
          <w:szCs w:val="18"/>
          <w:color w:val="auto"/>
        </w:rPr>
      </w:pPr>
    </w:p>
    <w:p>
      <w:pPr>
        <w:ind w:left="2940" w:hanging="988"/>
        <w:spacing w:after="0"/>
        <w:tabs>
          <w:tab w:leader="none" w:pos="2940" w:val="left"/>
        </w:tabs>
        <w:numPr>
          <w:ilvl w:val="2"/>
          <w:numId w:val="108"/>
        </w:numPr>
        <w:rPr>
          <w:rFonts w:ascii="Arial" w:cs="Arial" w:eastAsia="Arial" w:hAnsi="Arial"/>
          <w:sz w:val="16"/>
          <w:szCs w:val="16"/>
          <w:color w:val="auto"/>
        </w:rPr>
      </w:pPr>
      <w:r>
        <w:rPr>
          <w:rFonts w:ascii="Arial" w:cs="Arial" w:eastAsia="Arial" w:hAnsi="Arial"/>
          <w:sz w:val="16"/>
          <w:szCs w:val="16"/>
          <w:color w:val="auto"/>
        </w:rPr>
        <w:t>honor of a presentation of any Drawing Document that appears on its face to have been signed, presented or issued</w:t>
      </w:r>
    </w:p>
    <w:p>
      <w:pPr>
        <w:spacing w:after="0" w:line="46" w:lineRule="exact"/>
        <w:rPr>
          <w:rFonts w:ascii="Arial" w:cs="Arial" w:eastAsia="Arial" w:hAnsi="Arial"/>
          <w:sz w:val="16"/>
          <w:szCs w:val="16"/>
          <w:color w:val="auto"/>
        </w:rPr>
      </w:pPr>
    </w:p>
    <w:p>
      <w:pPr>
        <w:ind w:right="20" w:firstLine="8"/>
        <w:spacing w:after="0" w:line="260" w:lineRule="auto"/>
        <w:tabs>
          <w:tab w:leader="none" w:pos="30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any purported successor or transferee of any beneficiary or other Person required to sign, present or issue such Drawing Document or (B) under a new name of the beneficiary;</w:t>
      </w:r>
    </w:p>
    <w:p>
      <w:pPr>
        <w:spacing w:after="0" w:line="185" w:lineRule="exact"/>
        <w:rPr>
          <w:rFonts w:ascii="Arial" w:cs="Arial" w:eastAsia="Arial" w:hAnsi="Arial"/>
          <w:sz w:val="18"/>
          <w:szCs w:val="18"/>
          <w:color w:val="auto"/>
        </w:rPr>
      </w:pPr>
    </w:p>
    <w:p>
      <w:pPr>
        <w:jc w:val="both"/>
        <w:ind w:firstLine="1952"/>
        <w:spacing w:after="0" w:line="263" w:lineRule="auto"/>
        <w:tabs>
          <w:tab w:leader="none" w:pos="2969"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acceptance as a draft of any written or electronic demand or request for payment under a Letter of Credit, even if nonnegotiable or not in the form of a draft or notwithstanding any requirement that such draft, demand or request bear any or adequate reference to the Letter of Credit;</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923"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the identity or authority of any presenter or signer of any Drawing Document or the form, accuracy, genuineness or legal effect of any Drawing Document (other than Issuing Bank’s determination that such Drawing Document appears on its face substantially to comply with the terms and conditions of the Letter of Credit);</w:t>
      </w:r>
    </w:p>
    <w:p>
      <w:pPr>
        <w:spacing w:after="0" w:line="183" w:lineRule="exact"/>
        <w:rPr>
          <w:rFonts w:ascii="Arial" w:cs="Arial" w:eastAsia="Arial" w:hAnsi="Arial"/>
          <w:sz w:val="18"/>
          <w:szCs w:val="18"/>
          <w:color w:val="auto"/>
        </w:rPr>
      </w:pPr>
    </w:p>
    <w:p>
      <w:pPr>
        <w:ind w:firstLine="1952"/>
        <w:spacing w:after="0" w:line="277" w:lineRule="auto"/>
        <w:tabs>
          <w:tab w:leader="none" w:pos="2954"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acting upon any instruction or request relative to a Letter of Credit or requested Letter of Credit that Issuing Bank in good faith believes to have been given by a Person authorized to give such instruction or request;</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311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any Borrower;</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937"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any acts, omissions or fraud by, or the insolvency of, any beneficiary, any nominated person or entity or any other Person or any breach of contract between any beneficiary and any Borrower or any of the parties to the underlying transaction to which the Letter of Credit relates;</w:t>
      </w:r>
    </w:p>
    <w:p>
      <w:pPr>
        <w:spacing w:after="0" w:line="183" w:lineRule="exact"/>
        <w:rPr>
          <w:rFonts w:ascii="Arial" w:cs="Arial" w:eastAsia="Arial" w:hAnsi="Arial"/>
          <w:sz w:val="18"/>
          <w:szCs w:val="18"/>
          <w:color w:val="auto"/>
        </w:rPr>
      </w:pPr>
    </w:p>
    <w:p>
      <w:pPr>
        <w:ind w:left="2940" w:hanging="988"/>
        <w:spacing w:after="0"/>
        <w:tabs>
          <w:tab w:leader="none" w:pos="294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assertion or waiver of any provision of the ISP or UCP that primarily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benefits an issuer of a letter of credit, including any requirement that any Drawing Document be presented to it at a particular hour or place;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ind w:firstLine="1952"/>
        <w:spacing w:after="0" w:line="277" w:lineRule="auto"/>
        <w:tabs>
          <w:tab w:leader="none" w:pos="297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payment to any presenting bank (designated or permitted by the terms of the applicable Letter of Credit) claiming that it rightfully honored or is entitled to reimbursement or indemnity under Standard Letter of Credit Practice applicable to it;</w:t>
      </w:r>
    </w:p>
    <w:p>
      <w:pPr>
        <w:spacing w:after="0" w:line="170" w:lineRule="exact"/>
        <w:rPr>
          <w:rFonts w:ascii="Arial" w:cs="Arial" w:eastAsia="Arial" w:hAnsi="Arial"/>
          <w:sz w:val="18"/>
          <w:szCs w:val="18"/>
          <w:color w:val="auto"/>
        </w:rPr>
      </w:pPr>
    </w:p>
    <w:p>
      <w:pPr>
        <w:ind w:firstLine="1952"/>
        <w:spacing w:after="0" w:line="277" w:lineRule="auto"/>
        <w:tabs>
          <w:tab w:leader="none" w:pos="291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acting or failing to act as required or permitted under Standard Letter of Credit Practice applicable to where Issuing Bank has issued, confirmed, advised or negotiated such Letter of Credit, as the case may be;</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307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honor of a presentation after the expiration date of any Letter of Credit notwithstanding that a presentation was made prior to such expiration date and dishonored by Issuing Bank if subsequently Issuing Bank or any court or other finder of fact determines such presentation should have been honored;</w:t>
      </w:r>
    </w:p>
    <w:p>
      <w:pPr>
        <w:spacing w:after="0" w:line="183" w:lineRule="exact"/>
        <w:rPr>
          <w:rFonts w:ascii="Arial" w:cs="Arial" w:eastAsia="Arial" w:hAnsi="Arial"/>
          <w:sz w:val="18"/>
          <w:szCs w:val="18"/>
          <w:color w:val="auto"/>
        </w:rPr>
      </w:pPr>
    </w:p>
    <w:p>
      <w:pPr>
        <w:ind w:left="2980" w:hanging="1028"/>
        <w:spacing w:after="0"/>
        <w:tabs>
          <w:tab w:leader="none" w:pos="29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dishonor of any presentation that does not strictly comply or that is fraudulent, forged or otherwise not entitled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honor; or</w:t>
      </w:r>
    </w:p>
    <w:p>
      <w:pPr>
        <w:spacing w:after="0" w:line="210" w:lineRule="exact"/>
        <w:rPr>
          <w:rFonts w:ascii="Arial" w:cs="Arial" w:eastAsia="Arial" w:hAnsi="Arial"/>
          <w:sz w:val="16"/>
          <w:szCs w:val="16"/>
          <w:color w:val="auto"/>
        </w:rPr>
      </w:pPr>
    </w:p>
    <w:p>
      <w:pPr>
        <w:ind w:firstLine="1952"/>
        <w:spacing w:after="0" w:line="277" w:lineRule="auto"/>
        <w:tabs>
          <w:tab w:leader="none" w:pos="321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honor of a presentation that is subsequently determined by Issuing Bank to have been made in violation of international, federal, state or local restrictions on the transaction of business with certain prohibited Persons.</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2671" w:val="left"/>
        </w:tabs>
        <w:numPr>
          <w:ilvl w:val="0"/>
          <w:numId w:val="111"/>
        </w:numPr>
        <w:rPr>
          <w:rFonts w:ascii="Arial" w:cs="Arial" w:eastAsia="Arial" w:hAnsi="Arial"/>
          <w:sz w:val="18"/>
          <w:szCs w:val="18"/>
          <w:color w:val="010000"/>
        </w:rPr>
      </w:pPr>
      <w:r>
        <w:rPr>
          <w:rFonts w:ascii="Arial" w:cs="Arial" w:eastAsia="Arial" w:hAnsi="Arial"/>
          <w:sz w:val="18"/>
          <w:szCs w:val="18"/>
          <w:color w:val="auto"/>
        </w:rPr>
        <w:t xml:space="preserve">Borrowers shall pay immediately upon demand to Agent for the account of Issuing Bank as non-refundable fees, commissions, and charges (it being acknowledged and agreed that any charging of such fees, commissions, and charges to the Loan Account pursuant to the provisions of </w:t>
      </w:r>
      <w:r>
        <w:rPr>
          <w:rFonts w:ascii="Arial" w:cs="Arial" w:eastAsia="Arial" w:hAnsi="Arial"/>
          <w:sz w:val="18"/>
          <w:szCs w:val="18"/>
          <w:u w:val="single" w:color="auto"/>
          <w:color w:val="auto"/>
        </w:rPr>
        <w:t>Section 2.6(d)</w:t>
      </w:r>
      <w:r>
        <w:rPr>
          <w:rFonts w:ascii="Arial" w:cs="Arial" w:eastAsia="Arial" w:hAnsi="Arial"/>
          <w:sz w:val="18"/>
          <w:szCs w:val="18"/>
          <w:color w:val="auto"/>
        </w:rPr>
        <w:t xml:space="preserve"> shall be deemed to constitute a demand for payment thereof for the purposes of this </w:t>
      </w:r>
      <w:r>
        <w:rPr>
          <w:rFonts w:ascii="Arial" w:cs="Arial" w:eastAsia="Arial" w:hAnsi="Arial"/>
          <w:sz w:val="18"/>
          <w:szCs w:val="18"/>
          <w:u w:val="single" w:color="auto"/>
          <w:color w:val="auto"/>
        </w:rPr>
        <w:t>Section 2.11(k))</w:t>
      </w:r>
      <w:r>
        <w:rPr>
          <w:rFonts w:ascii="Arial" w:cs="Arial" w:eastAsia="Arial" w:hAnsi="Arial"/>
          <w:sz w:val="18"/>
          <w:szCs w:val="18"/>
          <w:color w:val="auto"/>
        </w:rPr>
        <w:t xml:space="preserve">: (i) a fronting fee which shall be imposed by Issuing Bank equal to 0.125% per annum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average amount of the Letter of Credit Usage during the immediately preceding month,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(ii) any and all other customary commissions, fees and charges then in effect imposed by, and any and all expenses incurred by, Issuing Bank, or by any adviser, confirming institution or entity or other nominated person, relating to Letters of Credit, at the time of issuance of any Letter of Credit and upon the occurrence of any other activity with respect to any Letter of Credit (including transfers, assignments of proceeds, amendments, drawings, renewals or cancellations).</w:t>
      </w:r>
    </w:p>
    <w:p>
      <w:pPr>
        <w:spacing w:after="0" w:line="191" w:lineRule="exact"/>
        <w:rPr>
          <w:rFonts w:ascii="Arial" w:cs="Arial" w:eastAsia="Arial" w:hAnsi="Arial"/>
          <w:sz w:val="18"/>
          <w:szCs w:val="18"/>
          <w:color w:val="010000"/>
        </w:rPr>
      </w:pPr>
    </w:p>
    <w:p>
      <w:pPr>
        <w:jc w:val="both"/>
        <w:ind w:firstLine="1304"/>
        <w:spacing w:after="0" w:line="263" w:lineRule="auto"/>
        <w:tabs>
          <w:tab w:leader="none" w:pos="2325" w:val="left"/>
        </w:tabs>
        <w:numPr>
          <w:ilvl w:val="0"/>
          <w:numId w:val="111"/>
        </w:numPr>
        <w:rPr>
          <w:rFonts w:ascii="Arial" w:cs="Arial" w:eastAsia="Arial" w:hAnsi="Arial"/>
          <w:sz w:val="18"/>
          <w:szCs w:val="18"/>
          <w:color w:val="010000"/>
        </w:rPr>
      </w:pPr>
      <w:r>
        <w:rPr>
          <w:rFonts w:ascii="Arial" w:cs="Arial" w:eastAsia="Arial" w:hAnsi="Arial"/>
          <w:sz w:val="18"/>
          <w:szCs w:val="18"/>
          <w:color w:val="auto"/>
        </w:rPr>
        <w:t>If by reason of (x) any Change in Law, or (y) compliance by Issuing Bank or any other member of the Lender Group with any direction, request, or requirement (irrespective of whether having the force of law) of any Governmental Authority or monetary authority including, Regulation D of the Board of Governors as from time to time in effect (and any successor thereto):</w:t>
      </w:r>
    </w:p>
    <w:p>
      <w:pPr>
        <w:spacing w:after="0" w:line="183" w:lineRule="exact"/>
        <w:rPr>
          <w:rFonts w:ascii="Arial" w:cs="Arial" w:eastAsia="Arial" w:hAnsi="Arial"/>
          <w:sz w:val="18"/>
          <w:szCs w:val="18"/>
          <w:color w:val="010000"/>
        </w:rPr>
      </w:pPr>
    </w:p>
    <w:p>
      <w:pPr>
        <w:ind w:left="3080" w:hanging="1128"/>
        <w:spacing w:after="0"/>
        <w:tabs>
          <w:tab w:leader="none" w:pos="30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any reserve, deposit, or similar requirement is or shall be imposed or modified in respect of any Letter of Credit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issued or caused to be issued hereunder or hereby, or any Loans or obligations to make Loans hereunder or hereby, or</w:t>
      </w:r>
    </w:p>
    <w:p>
      <w:pPr>
        <w:spacing w:after="0" w:line="210" w:lineRule="exact"/>
        <w:rPr>
          <w:rFonts w:ascii="Arial" w:cs="Arial" w:eastAsia="Arial" w:hAnsi="Arial"/>
          <w:sz w:val="16"/>
          <w:szCs w:val="16"/>
          <w:color w:val="auto"/>
        </w:rPr>
      </w:pPr>
    </w:p>
    <w:p>
      <w:pPr>
        <w:ind w:right="20" w:firstLine="1952"/>
        <w:spacing w:after="0" w:line="277" w:lineRule="auto"/>
        <w:tabs>
          <w:tab w:leader="none" w:pos="303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there shall be imposed on Issuing Bank or any other member of the Lender Group any other condition regarding any Letter of Credit, Loans, or obligations to make Loans hereunder,</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and the result of the foregoing is to increase, directly or indirectly, the cost to Issuing Bank or any other member of the Lender Group of issuing, making, participating in, or maintaining any Letter of Credit or to reduce the amount receivable in respect thereof, then, and in any such case, Agent may, at any time within a reasonable period after the additional cost is incurred or the amount received is reduced, notify Borrowers, and Borrowers shall pay within 30 days after demand therefor, such amounts as Agent may specify to be necessary to compensate Issuing Bank or any other member of the Lender Group for such additional cost or reduced receipt, together with interest on such amount from the date of such demand until payment in full thereof at the rate then applicable to Base Rate Loans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Borrowers shall not be required to provide any compensation pursuant to this </w:t>
      </w:r>
      <w:r>
        <w:rPr>
          <w:rFonts w:ascii="Arial" w:cs="Arial" w:eastAsia="Arial" w:hAnsi="Arial"/>
          <w:sz w:val="17"/>
          <w:szCs w:val="17"/>
          <w:u w:val="single" w:color="auto"/>
          <w:color w:val="auto"/>
        </w:rPr>
        <w:t>Section 2.11(l)</w:t>
      </w:r>
      <w:r>
        <w:rPr>
          <w:rFonts w:ascii="Arial" w:cs="Arial" w:eastAsia="Arial" w:hAnsi="Arial"/>
          <w:sz w:val="17"/>
          <w:szCs w:val="17"/>
          <w:color w:val="auto"/>
        </w:rPr>
        <w:t xml:space="preserve"> for any such amounts incurred more than 180 days prior to the date on which the demand for payment of such amounts is first made to Borrowers, and (B) if an event or circumstance giving rise to such amounts is retroactive, then the 180-day period referred to above shall be extended to include the period of retroactive effect thereof. The determination by Agent of any amount due pursuant to this </w:t>
      </w:r>
      <w:r>
        <w:rPr>
          <w:rFonts w:ascii="Arial" w:cs="Arial" w:eastAsia="Arial" w:hAnsi="Arial"/>
          <w:sz w:val="17"/>
          <w:szCs w:val="17"/>
          <w:u w:val="single" w:color="auto"/>
          <w:color w:val="auto"/>
        </w:rPr>
        <w:t>Section 2.11(l)</w:t>
      </w:r>
      <w:r>
        <w:rPr>
          <w:rFonts w:ascii="Arial" w:cs="Arial" w:eastAsia="Arial" w:hAnsi="Arial"/>
          <w:sz w:val="17"/>
          <w:szCs w:val="17"/>
          <w:color w:val="auto"/>
        </w:rPr>
        <w:t>, as set forth in a certificate setting forth the calculation thereof in reasonable detail, shall, in the absence of manifest or demonstrable error, be final and conclusive and binding on all of the parties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both"/>
        <w:ind w:firstLine="1304"/>
        <w:spacing w:after="0" w:line="296" w:lineRule="auto"/>
        <w:tabs>
          <w:tab w:leader="none" w:pos="2185" w:val="left"/>
        </w:tabs>
        <w:numPr>
          <w:ilvl w:val="0"/>
          <w:numId w:val="112"/>
        </w:numPr>
        <w:rPr>
          <w:rFonts w:ascii="Arial" w:cs="Arial" w:eastAsia="Arial" w:hAnsi="Arial"/>
          <w:sz w:val="16"/>
          <w:szCs w:val="16"/>
          <w:color w:val="010000"/>
        </w:rPr>
      </w:pPr>
      <w:r>
        <w:rPr>
          <w:rFonts w:ascii="Arial" w:cs="Arial" w:eastAsia="Arial" w:hAnsi="Arial"/>
          <w:sz w:val="16"/>
          <w:szCs w:val="16"/>
          <w:color w:val="auto"/>
        </w:rPr>
        <w:t xml:space="preserve">Each standby Letter of Credit shall expire not later than the date that is 12 months after the date of the issuance of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standby Letter of Credit may provide for the automatic extension thereof for any number of additional periods each of up to one year in duration;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with respect to any Letter of Credit which extends beyond the Maturity Date, Letter of Credit Collateralization shall be provided therefor on or before the date that is five Business Days prior to the Maturity Date. Each commercial Letter of Credit shall expire on the earlier of (i) 120 days after the date of the issuance of such commercial Letter of Credit and (ii) five Business Days prior to the Maturity Date.</w:t>
      </w:r>
    </w:p>
    <w:p>
      <w:pPr>
        <w:spacing w:after="0" w:line="161" w:lineRule="exact"/>
        <w:rPr>
          <w:rFonts w:ascii="Arial" w:cs="Arial" w:eastAsia="Arial" w:hAnsi="Arial"/>
          <w:sz w:val="16"/>
          <w:szCs w:val="16"/>
          <w:color w:val="010000"/>
        </w:rPr>
      </w:pPr>
    </w:p>
    <w:p>
      <w:pPr>
        <w:jc w:val="both"/>
        <w:ind w:firstLine="1304"/>
        <w:spacing w:after="0" w:line="290" w:lineRule="auto"/>
        <w:tabs>
          <w:tab w:leader="none" w:pos="2306" w:val="left"/>
        </w:tabs>
        <w:numPr>
          <w:ilvl w:val="0"/>
          <w:numId w:val="112"/>
        </w:numPr>
        <w:rPr>
          <w:rFonts w:ascii="Arial" w:cs="Arial" w:eastAsia="Arial" w:hAnsi="Arial"/>
          <w:sz w:val="16"/>
          <w:szCs w:val="16"/>
          <w:color w:val="010000"/>
        </w:rPr>
      </w:pPr>
      <w:r>
        <w:rPr>
          <w:rFonts w:ascii="Arial" w:cs="Arial" w:eastAsia="Arial" w:hAnsi="Arial"/>
          <w:sz w:val="16"/>
          <w:szCs w:val="16"/>
          <w:color w:val="auto"/>
        </w:rPr>
        <w:t xml:space="preserve">If (i) any Event of Default shall occur and be continuing, or (ii) Availability shall at any time be less than zero, then on the Business Day following the date when the Administrative Borrower receives notice from Agent or the Required Lenders (or, if the maturity of the Obligations has been accelerated, Revolving Lenders with Letter of Credit Exposure representing greater than 50% of the total Letter Credit Exposure) demanding Letter of Credit Collateralization pursuant to this </w:t>
      </w:r>
      <w:r>
        <w:rPr>
          <w:rFonts w:ascii="Arial" w:cs="Arial" w:eastAsia="Arial" w:hAnsi="Arial"/>
          <w:sz w:val="16"/>
          <w:szCs w:val="16"/>
          <w:u w:val="single" w:color="auto"/>
          <w:color w:val="auto"/>
        </w:rPr>
        <w:t>Section 2.11(n)</w:t>
      </w:r>
      <w:r>
        <w:rPr>
          <w:rFonts w:ascii="Arial" w:cs="Arial" w:eastAsia="Arial" w:hAnsi="Arial"/>
          <w:sz w:val="16"/>
          <w:szCs w:val="16"/>
          <w:color w:val="auto"/>
        </w:rPr>
        <w:t xml:space="preserve"> upon such demand, Borrowers shall provide Letter of Credit Collateralization with respect to the then existing Letter of Credit Usage. If Borrowers fail to provide Letter of Credit Collateralization as required by this </w:t>
      </w:r>
      <w:r>
        <w:rPr>
          <w:rFonts w:ascii="Arial" w:cs="Arial" w:eastAsia="Arial" w:hAnsi="Arial"/>
          <w:sz w:val="16"/>
          <w:szCs w:val="16"/>
          <w:u w:val="single" w:color="auto"/>
          <w:color w:val="auto"/>
        </w:rPr>
        <w:t>Section 2.11(n)</w:t>
      </w:r>
      <w:r>
        <w:rPr>
          <w:rFonts w:ascii="Arial" w:cs="Arial" w:eastAsia="Arial" w:hAnsi="Arial"/>
          <w:sz w:val="16"/>
          <w:szCs w:val="16"/>
          <w:color w:val="auto"/>
        </w:rPr>
        <w:t xml:space="preserve">, the Revolving Lenders may (and, upon direction of Agent, shall) advance, as Revolving Loans the amount of the cash collateral required pursuant to the Letter of Credit Collateralization provision so that the then existing Letter of Credit Usage is cash collateralized in accordance with the Letter of Credit Collateralization provision (whether or not the Revolver Commitments have terminated, an Overadvance exists or the conditions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are satisfied).</w:t>
      </w:r>
    </w:p>
    <w:p>
      <w:pPr>
        <w:spacing w:after="0" w:line="165" w:lineRule="exact"/>
        <w:rPr>
          <w:rFonts w:ascii="Arial" w:cs="Arial" w:eastAsia="Arial" w:hAnsi="Arial"/>
          <w:sz w:val="16"/>
          <w:szCs w:val="16"/>
          <w:color w:val="010000"/>
        </w:rPr>
      </w:pPr>
    </w:p>
    <w:p>
      <w:pPr>
        <w:jc w:val="both"/>
        <w:ind w:firstLine="1304"/>
        <w:spacing w:after="0" w:line="263" w:lineRule="auto"/>
        <w:tabs>
          <w:tab w:leader="none" w:pos="2387" w:val="left"/>
        </w:tabs>
        <w:numPr>
          <w:ilvl w:val="0"/>
          <w:numId w:val="112"/>
        </w:numPr>
        <w:rPr>
          <w:rFonts w:ascii="Arial" w:cs="Arial" w:eastAsia="Arial" w:hAnsi="Arial"/>
          <w:sz w:val="18"/>
          <w:szCs w:val="18"/>
          <w:color w:val="010000"/>
        </w:rPr>
      </w:pPr>
      <w:r>
        <w:rPr>
          <w:rFonts w:ascii="Arial" w:cs="Arial" w:eastAsia="Arial" w:hAnsi="Arial"/>
          <w:sz w:val="18"/>
          <w:szCs w:val="18"/>
          <w:color w:val="auto"/>
        </w:rPr>
        <w:t>Unless otherwise expressly agreed by Issuing Bank and Borrowers when a Letter of Credit is issued (including any such agreement applicable to an Existing Letter of Credit), (i) the rules of the ISP shall apply to each standby Letter of Credit, and (ii) the rules of the UCP shall apply to each commercial Letter of Credit.</w:t>
      </w:r>
    </w:p>
    <w:p>
      <w:pPr>
        <w:spacing w:after="0" w:line="183" w:lineRule="exact"/>
        <w:rPr>
          <w:rFonts w:ascii="Arial" w:cs="Arial" w:eastAsia="Arial" w:hAnsi="Arial"/>
          <w:sz w:val="18"/>
          <w:szCs w:val="18"/>
          <w:color w:val="010000"/>
        </w:rPr>
      </w:pPr>
    </w:p>
    <w:p>
      <w:pPr>
        <w:ind w:firstLine="1304"/>
        <w:spacing w:after="0" w:line="277" w:lineRule="auto"/>
        <w:tabs>
          <w:tab w:leader="none" w:pos="2590" w:val="left"/>
        </w:tabs>
        <w:numPr>
          <w:ilvl w:val="0"/>
          <w:numId w:val="112"/>
        </w:numPr>
        <w:rPr>
          <w:rFonts w:ascii="Arial" w:cs="Arial" w:eastAsia="Arial" w:hAnsi="Arial"/>
          <w:sz w:val="18"/>
          <w:szCs w:val="18"/>
          <w:color w:val="010000"/>
        </w:rPr>
      </w:pPr>
      <w:r>
        <w:rPr>
          <w:rFonts w:ascii="Arial" w:cs="Arial" w:eastAsia="Arial" w:hAnsi="Arial"/>
          <w:sz w:val="18"/>
          <w:szCs w:val="18"/>
          <w:color w:val="auto"/>
        </w:rPr>
        <w:t>Issuing Bank shall be deemed to have acted with due diligence and reasonable care if Issuing Bank’s conduct is in accordance with Standard Letter of Credit Practice or in accordance with this Agreement.</w:t>
      </w:r>
    </w:p>
    <w:p>
      <w:pPr>
        <w:spacing w:after="0" w:line="170" w:lineRule="exact"/>
        <w:rPr>
          <w:rFonts w:ascii="Arial" w:cs="Arial" w:eastAsia="Arial" w:hAnsi="Arial"/>
          <w:sz w:val="18"/>
          <w:szCs w:val="18"/>
          <w:color w:val="010000"/>
        </w:rPr>
      </w:pPr>
    </w:p>
    <w:p>
      <w:pPr>
        <w:jc w:val="both"/>
        <w:ind w:firstLine="1304"/>
        <w:spacing w:after="0" w:line="259" w:lineRule="auto"/>
        <w:tabs>
          <w:tab w:leader="none" w:pos="2482" w:val="left"/>
        </w:tabs>
        <w:numPr>
          <w:ilvl w:val="0"/>
          <w:numId w:val="112"/>
        </w:numPr>
        <w:rPr>
          <w:rFonts w:ascii="Arial" w:cs="Arial" w:eastAsia="Arial" w:hAnsi="Arial"/>
          <w:sz w:val="18"/>
          <w:szCs w:val="18"/>
          <w:color w:val="010000"/>
        </w:rPr>
      </w:pPr>
      <w:r>
        <w:rPr>
          <w:rFonts w:ascii="Arial" w:cs="Arial" w:eastAsia="Arial" w:hAnsi="Arial"/>
          <w:sz w:val="18"/>
          <w:szCs w:val="18"/>
          <w:color w:val="auto"/>
        </w:rPr>
        <w:t xml:space="preserve">In the event of a direct conflict between the provisions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control and govern.</w:t>
      </w:r>
    </w:p>
    <w:p>
      <w:pPr>
        <w:spacing w:after="0" w:line="186" w:lineRule="exact"/>
        <w:rPr>
          <w:rFonts w:ascii="Arial" w:cs="Arial" w:eastAsia="Arial" w:hAnsi="Arial"/>
          <w:sz w:val="18"/>
          <w:szCs w:val="18"/>
          <w:color w:val="010000"/>
        </w:rPr>
      </w:pPr>
    </w:p>
    <w:p>
      <w:pPr>
        <w:ind w:firstLine="1304"/>
        <w:spacing w:after="0" w:line="277" w:lineRule="auto"/>
        <w:tabs>
          <w:tab w:leader="none" w:pos="2578" w:val="left"/>
        </w:tabs>
        <w:numPr>
          <w:ilvl w:val="0"/>
          <w:numId w:val="112"/>
        </w:numPr>
        <w:rPr>
          <w:rFonts w:ascii="Arial" w:cs="Arial" w:eastAsia="Arial" w:hAnsi="Arial"/>
          <w:sz w:val="18"/>
          <w:szCs w:val="18"/>
          <w:color w:val="010000"/>
        </w:rPr>
      </w:pPr>
      <w:r>
        <w:rPr>
          <w:rFonts w:ascii="Arial" w:cs="Arial" w:eastAsia="Arial" w:hAnsi="Arial"/>
          <w:sz w:val="18"/>
          <w:szCs w:val="18"/>
          <w:color w:val="auto"/>
        </w:rPr>
        <w:t>The provisions of this Section 2.11 shall survive the termination of this Agreement and the repayment in full of the Obligations with respect to any Letters of Credit that remain outstanding.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both"/>
        <w:ind w:firstLine="1304"/>
        <w:spacing w:after="0" w:line="271" w:lineRule="auto"/>
        <w:tabs>
          <w:tab w:leader="none" w:pos="2628" w:val="left"/>
        </w:tabs>
        <w:numPr>
          <w:ilvl w:val="0"/>
          <w:numId w:val="113"/>
        </w:numPr>
        <w:rPr>
          <w:rFonts w:ascii="Arial" w:cs="Arial" w:eastAsia="Arial" w:hAnsi="Arial"/>
          <w:sz w:val="17"/>
          <w:szCs w:val="17"/>
          <w:color w:val="010000"/>
        </w:rPr>
      </w:pPr>
      <w:r>
        <w:rPr>
          <w:rFonts w:ascii="Arial" w:cs="Arial" w:eastAsia="Arial" w:hAnsi="Arial"/>
          <w:sz w:val="17"/>
          <w:szCs w:val="17"/>
          <w:color w:val="auto"/>
        </w:rPr>
        <w:t>At Borrowers’ costs and expense, Borrowers shall execute and deliver to Issuing Bank such additional certificates, instruments and/or documents and take such additional action as may be reasonably requested by Issuing Bank to enable Issuing Bank to issue any Letter of Credit pursuant to this Agreement and related Issuer Document, to protect, exercise and/or enforce Issuing Banks’ rights and interests under this Agreement or to give effect to the terms and provisions of this Agreement or any Issuer Document. Each Borrower irrevocably appoints Issuing Bank as its attorney-in-fact and authorizes Issuing Bank, without notice to Borrowers, to execute and deliver ancillary documents and letters customary in the letter of credit business that may include but are not limited to advisements, indemnities, checks, bills of exchange and issuance documents. The power of attorney granted by the Borrowers is limited solely to such actions related to the issuance, confirmation or amendment of any Letter of Credit and to ancillary documents or letters customary in the letter of credit business. This appointment is coupled with an interest.</w:t>
      </w:r>
    </w:p>
    <w:p>
      <w:pPr>
        <w:spacing w:after="0" w:line="17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2.12</w:t>
      </w:r>
      <w:r>
        <w:rPr>
          <w:sz w:val="20"/>
          <w:szCs w:val="20"/>
          <w:color w:val="auto"/>
        </w:rPr>
        <w:tab/>
      </w:r>
      <w:r>
        <w:rPr>
          <w:rFonts w:ascii="Arial" w:cs="Arial" w:eastAsia="Arial" w:hAnsi="Arial"/>
          <w:sz w:val="17"/>
          <w:szCs w:val="17"/>
          <w:b w:val="1"/>
          <w:bCs w:val="1"/>
          <w:u w:val="single" w:color="auto"/>
          <w:color w:val="auto"/>
        </w:rPr>
        <w:t>LIBOR Option</w:t>
      </w:r>
      <w:r>
        <w:rPr>
          <w:rFonts w:ascii="Arial" w:cs="Arial" w:eastAsia="Arial" w:hAnsi="Arial"/>
          <w:sz w:val="17"/>
          <w:szCs w:val="17"/>
          <w:color w:val="auto"/>
        </w:rPr>
        <w:t>.</w:t>
      </w:r>
    </w:p>
    <w:p>
      <w:pPr>
        <w:spacing w:after="0" w:line="225" w:lineRule="exact"/>
        <w:rPr>
          <w:sz w:val="20"/>
          <w:szCs w:val="20"/>
          <w:color w:val="auto"/>
        </w:rPr>
      </w:pPr>
    </w:p>
    <w:p>
      <w:pPr>
        <w:jc w:val="both"/>
        <w:ind w:firstLine="1304"/>
        <w:spacing w:after="0" w:line="288" w:lineRule="auto"/>
        <w:tabs>
          <w:tab w:leader="none" w:pos="2337" w:val="left"/>
        </w:tabs>
        <w:numPr>
          <w:ilvl w:val="0"/>
          <w:numId w:val="114"/>
        </w:numPr>
        <w:rPr>
          <w:rFonts w:ascii="Arial" w:cs="Arial" w:eastAsia="Arial" w:hAnsi="Arial"/>
          <w:sz w:val="16"/>
          <w:szCs w:val="16"/>
          <w:color w:val="010000"/>
        </w:rPr>
      </w:pPr>
      <w:r>
        <w:rPr>
          <w:rFonts w:ascii="Arial" w:cs="Arial" w:eastAsia="Arial" w:hAnsi="Arial"/>
          <w:sz w:val="16"/>
          <w:szCs w:val="16"/>
          <w:b w:val="1"/>
          <w:bCs w:val="1"/>
          <w:color w:val="auto"/>
        </w:rPr>
        <w:t>Interest and Interest Payment Dates</w:t>
      </w:r>
      <w:r>
        <w:rPr>
          <w:rFonts w:ascii="Arial" w:cs="Arial" w:eastAsia="Arial" w:hAnsi="Arial"/>
          <w:sz w:val="16"/>
          <w:szCs w:val="16"/>
          <w:color w:val="auto"/>
        </w:rPr>
        <w:t>. In lieu of having interest charged at the rate based upon the Base Rate, 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have the option, subject to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below (the “</w:t>
      </w:r>
      <w:r>
        <w:rPr>
          <w:rFonts w:ascii="Arial" w:cs="Arial" w:eastAsia="Arial" w:hAnsi="Arial"/>
          <w:sz w:val="16"/>
          <w:szCs w:val="16"/>
          <w:u w:val="single" w:color="auto"/>
          <w:color w:val="auto"/>
        </w:rPr>
        <w:t>LIBOR Option</w:t>
      </w:r>
      <w:r>
        <w:rPr>
          <w:rFonts w:ascii="Arial" w:cs="Arial" w:eastAsia="Arial" w:hAnsi="Arial"/>
          <w:sz w:val="16"/>
          <w:szCs w:val="16"/>
          <w:color w:val="auto"/>
        </w:rPr>
        <w:t xml:space="preserve">”) to have interest on all or a portion of the Revolving Loans be charged (whether at the time when made (unless otherwise provided herein), upon conversion from a Base Rate Loan to a LIBOR Rate Loan, or upon continuation of a LIBOR Rate Loan as a LIBOR Rate Loan) at a rate of interest based upon the LIBOR Rate. Interest on LIBOR Rate Loans shall be payable on the earliest of (i) the last day of the Interest Period applicable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subject to the following clauses (ii) and (iii), in the case of any Interest Period greater than three months in duration, interest shall be payable at three month intervals after the commencement of the applicable Interest Period and on the last day of such Interest Period), (ii) the date on which all or any portion of the Obligations are accelerated pursuant to the terms hereof, or (iii) the date on which this Agreement is terminated pursuant to the terms hereof. On the last day of each applicable Interest Period, unless Borrowers have properly exercised the LIBOR Option with respect thereto, the interest rate applicable to such LIBOR Rate Loan automatically shall convert to the rate of interest then applicable to Base Rate Loans of the same type hereunder. At any time that an Event of Default has occurred and is continuing, Borrowers no longer shall have the option to request that Revolving Loans bear interest at a rate based upon the LIBOR Rate.</w:t>
      </w:r>
    </w:p>
    <w:p>
      <w:pPr>
        <w:spacing w:after="0" w:line="167" w:lineRule="exact"/>
        <w:rPr>
          <w:rFonts w:ascii="Arial" w:cs="Arial" w:eastAsia="Arial" w:hAnsi="Arial"/>
          <w:sz w:val="16"/>
          <w:szCs w:val="16"/>
          <w:color w:val="010000"/>
        </w:rPr>
      </w:pPr>
    </w:p>
    <w:p>
      <w:pPr>
        <w:ind w:left="2240" w:hanging="936"/>
        <w:spacing w:after="0"/>
        <w:tabs>
          <w:tab w:leader="none" w:pos="2240" w:val="left"/>
        </w:tabs>
        <w:numPr>
          <w:ilvl w:val="0"/>
          <w:numId w:val="114"/>
        </w:numPr>
        <w:rPr>
          <w:rFonts w:ascii="Arial" w:cs="Arial" w:eastAsia="Arial" w:hAnsi="Arial"/>
          <w:sz w:val="18"/>
          <w:szCs w:val="18"/>
          <w:color w:val="010000"/>
        </w:rPr>
      </w:pPr>
      <w:r>
        <w:rPr>
          <w:rFonts w:ascii="Arial" w:cs="Arial" w:eastAsia="Arial" w:hAnsi="Arial"/>
          <w:sz w:val="18"/>
          <w:szCs w:val="18"/>
          <w:color w:val="auto"/>
        </w:rPr>
        <w:t>LIBOR Election.</w:t>
      </w:r>
    </w:p>
    <w:p>
      <w:pPr>
        <w:spacing w:after="0" w:line="225" w:lineRule="exact"/>
        <w:rPr>
          <w:rFonts w:ascii="Arial" w:cs="Arial" w:eastAsia="Arial" w:hAnsi="Arial"/>
          <w:sz w:val="18"/>
          <w:szCs w:val="18"/>
          <w:color w:val="010000"/>
        </w:rPr>
      </w:pPr>
    </w:p>
    <w:p>
      <w:pPr>
        <w:jc w:val="both"/>
        <w:ind w:firstLine="1952"/>
        <w:spacing w:after="0" w:line="275" w:lineRule="auto"/>
        <w:tabs>
          <w:tab w:leader="none" w:pos="2977" w:val="left"/>
        </w:tabs>
        <w:numPr>
          <w:ilvl w:val="1"/>
          <w:numId w:val="114"/>
        </w:numPr>
        <w:rPr>
          <w:rFonts w:ascii="Arial" w:cs="Arial" w:eastAsia="Arial" w:hAnsi="Arial"/>
          <w:sz w:val="17"/>
          <w:szCs w:val="17"/>
          <w:color w:val="auto"/>
        </w:rPr>
      </w:pPr>
      <w:r>
        <w:rPr>
          <w:rFonts w:ascii="Arial" w:cs="Arial" w:eastAsia="Arial" w:hAnsi="Arial"/>
          <w:sz w:val="17"/>
          <w:szCs w:val="17"/>
          <w:color w:val="auto"/>
        </w:rPr>
        <w:t>Borrowers may, at any time and from time to time, so long as no Event of Default has occurred and is continuing, elect to exercise the LIBOR Option by notifying Agent prior to 11:00 a.m. at least three Business Days prior to the commencement of the proposed Interest Period (the “</w:t>
      </w:r>
      <w:r>
        <w:rPr>
          <w:rFonts w:ascii="Arial" w:cs="Arial" w:eastAsia="Arial" w:hAnsi="Arial"/>
          <w:sz w:val="17"/>
          <w:szCs w:val="17"/>
          <w:u w:val="single" w:color="auto"/>
          <w:color w:val="auto"/>
        </w:rPr>
        <w:t>LIBOR Deadline</w:t>
      </w:r>
      <w:r>
        <w:rPr>
          <w:rFonts w:ascii="Arial" w:cs="Arial" w:eastAsia="Arial" w:hAnsi="Arial"/>
          <w:sz w:val="17"/>
          <w:szCs w:val="17"/>
          <w:color w:val="auto"/>
        </w:rPr>
        <w:t>”). Notice of Borrowers’ election of the LIBOR Option for a permitted portion of the Revolving Loans and an Interest Period pursuant to this Section shall be made by delivery to Agent of a LIBOR Notice received by Agent before the LIBOR Deadline. Promptly upon its receipt of each such LIBOR Notice, Agent shall provide a copy thereof to each of the affected Lenders.</w:t>
      </w:r>
    </w:p>
    <w:p>
      <w:pPr>
        <w:spacing w:after="0" w:line="176" w:lineRule="exact"/>
        <w:rPr>
          <w:rFonts w:ascii="Arial" w:cs="Arial" w:eastAsia="Arial" w:hAnsi="Arial"/>
          <w:sz w:val="17"/>
          <w:szCs w:val="17"/>
          <w:color w:val="auto"/>
        </w:rPr>
      </w:pPr>
    </w:p>
    <w:p>
      <w:pPr>
        <w:jc w:val="both"/>
        <w:ind w:firstLine="1952"/>
        <w:spacing w:after="0" w:line="268" w:lineRule="auto"/>
        <w:tabs>
          <w:tab w:leader="none" w:pos="301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Each LIBOR Notice shall be irrevocable and binding on Borrowers. In connection with each LIBOR Rate Loan, each Borrower shall indemnify, defend, and hold Agent and the Lenders harmless against any loss, cost, or expense actually incurred by Agent or any Lender as a result of (A) the payment or required assignment of any principal of any LIBOR Rate Loan other than on the last day of an Interest Period applicable thereto (including as a result of an Event of Default), (B) the conversion of any LIBOR Rate Loan other than on the last day of the Interest Period applicable thereto, or (C) the failure to borrow, convert, continue or prepay any LIBOR Rate Loan on the date specified in any LIBOR Notice delivered pursuant hereto (such losses, costs, or expenses, “</w:t>
      </w:r>
      <w:r>
        <w:rPr>
          <w:rFonts w:ascii="Arial" w:cs="Arial" w:eastAsia="Arial" w:hAnsi="Arial"/>
          <w:sz w:val="17"/>
          <w:szCs w:val="17"/>
          <w:u w:val="single" w:color="auto"/>
          <w:color w:val="auto"/>
        </w:rPr>
        <w:t>Funding Losses</w:t>
      </w:r>
      <w:r>
        <w:rPr>
          <w:rFonts w:ascii="Arial" w:cs="Arial" w:eastAsia="Arial" w:hAnsi="Arial"/>
          <w:sz w:val="17"/>
          <w:szCs w:val="17"/>
          <w:color w:val="auto"/>
        </w:rPr>
        <w:t xml:space="preserve">”). A certificate of Agent or a Lender delivered to Borrowers setting forth in reasonable detail any amount or amounts that Agent or such Lender is entitled to receive pursuant to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shall be conclusive absent manifest error. Borrowers shall pay such amount to Agent or the Lender, as applicable, within 30 days of the date of its receipt of such certificate. If a payment of a LIBOR Rate Loan on a day other than the last day of the applicable Interest Period would result in a Funding Loss, Agent may, in its sole discretion at the request of Borrowers, hold the amount of such payment as cash collateral in support of the Obligations until the last day of such Interest Period and apply such amounts to the payment of the applicable LIBOR Rate Loan on such last day, it being agreed that Agent has no obligation to so defer the application of payments to any LIBOR Rate Loan and that, in the event that Agent does not defer such application, Borrowers shall be obligated to pay any resulting Funding Losses.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ind w:firstLine="1952"/>
        <w:spacing w:after="0" w:line="308" w:lineRule="auto"/>
        <w:tabs>
          <w:tab w:leader="none" w:pos="2799" w:val="left"/>
        </w:tabs>
        <w:numPr>
          <w:ilvl w:val="1"/>
          <w:numId w:val="115"/>
        </w:numPr>
        <w:rPr>
          <w:rFonts w:ascii="Arial" w:cs="Arial" w:eastAsia="Arial" w:hAnsi="Arial"/>
          <w:sz w:val="17"/>
          <w:szCs w:val="17"/>
          <w:color w:val="auto"/>
        </w:rPr>
      </w:pPr>
      <w:r>
        <w:rPr>
          <w:rFonts w:ascii="Arial" w:cs="Arial" w:eastAsia="Arial" w:hAnsi="Arial"/>
          <w:sz w:val="17"/>
          <w:szCs w:val="17"/>
          <w:color w:val="auto"/>
        </w:rPr>
        <w:t xml:space="preserve">Unless Agent, in its sole discretion, agrees otherwise, Borrowers shall have not more than five LIBOR Rate Loans in effect at any given time. Borrowers may only exercise the LIBOR Option for proposed LIBOR Rate Loans of at </w:t>
      </w:r>
      <w:r>
        <w:rPr>
          <w:rFonts w:ascii="Arial" w:cs="Arial" w:eastAsia="Arial" w:hAnsi="Arial"/>
          <w:sz w:val="17"/>
          <w:szCs w:val="17"/>
          <w:u w:val="single" w:color="auto"/>
          <w:color w:val="auto"/>
        </w:rPr>
        <w:t>least</w:t>
      </w:r>
      <w:r>
        <w:rPr>
          <w:rFonts w:ascii="Arial" w:cs="Arial" w:eastAsia="Arial" w:hAnsi="Arial"/>
          <w:sz w:val="17"/>
          <w:szCs w:val="17"/>
          <w:color w:val="auto"/>
        </w:rPr>
        <w:t xml:space="preserve"> $1,000,000.</w:t>
      </w:r>
    </w:p>
    <w:p>
      <w:pPr>
        <w:spacing w:after="0" w:line="142" w:lineRule="exact"/>
        <w:rPr>
          <w:rFonts w:ascii="Arial" w:cs="Arial" w:eastAsia="Arial" w:hAnsi="Arial"/>
          <w:sz w:val="17"/>
          <w:szCs w:val="17"/>
          <w:color w:val="auto"/>
        </w:rPr>
      </w:pPr>
    </w:p>
    <w:p>
      <w:pPr>
        <w:jc w:val="both"/>
        <w:ind w:firstLine="1304"/>
        <w:spacing w:after="0" w:line="256" w:lineRule="auto"/>
        <w:tabs>
          <w:tab w:leader="none" w:pos="2098" w:val="left"/>
        </w:tabs>
        <w:numPr>
          <w:ilvl w:val="0"/>
          <w:numId w:val="116"/>
        </w:numPr>
        <w:rPr>
          <w:rFonts w:ascii="Arial" w:cs="Arial" w:eastAsia="Arial" w:hAnsi="Arial"/>
          <w:sz w:val="18"/>
          <w:szCs w:val="18"/>
          <w:color w:val="010000"/>
        </w:rPr>
      </w:pPr>
      <w:r>
        <w:rPr>
          <w:rFonts w:ascii="Arial" w:cs="Arial" w:eastAsia="Arial" w:hAnsi="Arial"/>
          <w:sz w:val="18"/>
          <w:szCs w:val="18"/>
          <w:b w:val="1"/>
          <w:bCs w:val="1"/>
          <w:color w:val="auto"/>
        </w:rPr>
        <w:t>Conversion; Prepayment</w:t>
      </w:r>
      <w:r>
        <w:rPr>
          <w:rFonts w:ascii="Arial" w:cs="Arial" w:eastAsia="Arial" w:hAnsi="Arial"/>
          <w:sz w:val="18"/>
          <w:szCs w:val="18"/>
          <w:color w:val="auto"/>
        </w:rPr>
        <w:t>. Borrowers may convert LIBOR Rate Loans to Base Rate Loans or prepay LIBOR Rate Loans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LIBOR Rate Loans are converted or prepaid on any date that is not the last day of the Interest Period applicable thereto, including as a result of any prepayment through the required application by Agent of any payments or proceeds of Collateral in accordance with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or for any other reason, including early termination of the term of this Agreement or acceleration of all or any portion of the Obligations pursuant to the terms hereof, each Borrower shall indemnify, defend, and hold Agent and the Lenders and their Participants harmless against any and all Funding Losses in accordance with </w:t>
      </w:r>
      <w:r>
        <w:rPr>
          <w:rFonts w:ascii="Arial" w:cs="Arial" w:eastAsia="Arial" w:hAnsi="Arial"/>
          <w:sz w:val="18"/>
          <w:szCs w:val="18"/>
          <w:u w:val="single" w:color="auto"/>
          <w:color w:val="auto"/>
        </w:rPr>
        <w:t>Section 2.12 (b)(ii)</w:t>
      </w:r>
      <w:r>
        <w:rPr>
          <w:rFonts w:ascii="Arial" w:cs="Arial" w:eastAsia="Arial" w:hAnsi="Arial"/>
          <w:sz w:val="18"/>
          <w:szCs w:val="18"/>
          <w:color w:val="auto"/>
        </w:rPr>
        <w:t>.</w:t>
      </w:r>
    </w:p>
    <w:p>
      <w:pPr>
        <w:spacing w:after="0" w:line="191" w:lineRule="exact"/>
        <w:rPr>
          <w:rFonts w:ascii="Arial" w:cs="Arial" w:eastAsia="Arial" w:hAnsi="Arial"/>
          <w:sz w:val="18"/>
          <w:szCs w:val="18"/>
          <w:color w:val="010000"/>
        </w:rPr>
      </w:pPr>
    </w:p>
    <w:p>
      <w:pPr>
        <w:ind w:left="2000" w:hanging="696"/>
        <w:spacing w:after="0"/>
        <w:tabs>
          <w:tab w:leader="none" w:pos="2000" w:val="left"/>
        </w:tabs>
        <w:numPr>
          <w:ilvl w:val="0"/>
          <w:numId w:val="116"/>
        </w:numPr>
        <w:rPr>
          <w:rFonts w:ascii="Arial" w:cs="Arial" w:eastAsia="Arial" w:hAnsi="Arial"/>
          <w:sz w:val="18"/>
          <w:szCs w:val="18"/>
          <w:color w:val="010000"/>
        </w:rPr>
      </w:pPr>
      <w:r>
        <w:rPr>
          <w:rFonts w:ascii="Arial" w:cs="Arial" w:eastAsia="Arial" w:hAnsi="Arial"/>
          <w:sz w:val="18"/>
          <w:szCs w:val="18"/>
          <w:color w:val="auto"/>
        </w:rPr>
        <w:t>Special Provisions Applicable to LIBOR Rate.</w:t>
      </w:r>
    </w:p>
    <w:p>
      <w:pPr>
        <w:spacing w:after="0" w:line="225" w:lineRule="exact"/>
        <w:rPr>
          <w:rFonts w:ascii="Arial" w:cs="Arial" w:eastAsia="Arial" w:hAnsi="Arial"/>
          <w:sz w:val="18"/>
          <w:szCs w:val="18"/>
          <w:color w:val="010000"/>
        </w:rPr>
      </w:pPr>
    </w:p>
    <w:p>
      <w:pPr>
        <w:jc w:val="both"/>
        <w:ind w:firstLine="1952"/>
        <w:spacing w:after="0" w:line="289" w:lineRule="auto"/>
        <w:tabs>
          <w:tab w:leader="none" w:pos="2932"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The LIBOR Rate may be adjusted by Agent with respect to any Lender on a prospective basis to take into account any additional or increased costs to such Lender of maintaining or obtaining any eurodollar deposits or increased costs (other than Taxes which shall be governed by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in each case, due to changes in applicable law occurring subsequent to the commencement of the then applicable Interest Period, including any Changes in Law and changes in the reserve requirements imposed by the Board of Governors, which additional or increased costs would increase the cost of funding or maintaining loans bearing interest at the LIBOR Rate. In any such event, the affected Lender shall give Borrowers and Agent notice of such a determination and adjustment and Agent promptly shall transmit the notice to each other Lender and, upon its receipt of the notice from the affected Lender, Borrowers may, by notice to such affected Lender (A) require such Lender to furnish to Borrowers a statement setting forth in reasonable detail the basis for adjusting such LIBOR Rate and the method for determining the amount of such adjustment, or (B) repay the LIBOR Rate Loans of such Lender with respect to which such adjustment is made (together with any amounts due under </w:t>
      </w:r>
      <w:r>
        <w:rPr>
          <w:rFonts w:ascii="Arial" w:cs="Arial" w:eastAsia="Arial" w:hAnsi="Arial"/>
          <w:sz w:val="16"/>
          <w:szCs w:val="16"/>
          <w:u w:val="single" w:color="auto"/>
          <w:color w:val="auto"/>
        </w:rPr>
        <w:t>Section 2.12(b)(ii)</w:t>
      </w:r>
      <w:r>
        <w:rPr>
          <w:rFonts w:ascii="Arial" w:cs="Arial" w:eastAsia="Arial" w:hAnsi="Arial"/>
          <w:sz w:val="16"/>
          <w:szCs w:val="16"/>
          <w:color w:val="auto"/>
        </w:rPr>
        <w:t>).</w:t>
      </w:r>
    </w:p>
    <w:p>
      <w:pPr>
        <w:spacing w:after="0" w:line="166" w:lineRule="exact"/>
        <w:rPr>
          <w:sz w:val="20"/>
          <w:szCs w:val="20"/>
          <w:color w:val="auto"/>
        </w:rPr>
      </w:pPr>
    </w:p>
    <w:p>
      <w:pPr>
        <w:jc w:val="both"/>
        <w:ind w:firstLine="1952"/>
        <w:spacing w:after="0" w:line="272" w:lineRule="auto"/>
        <w:tabs>
          <w:tab w:leader="none" w:pos="2933" w:val="left"/>
        </w:tabs>
        <w:numPr>
          <w:ilvl w:val="1"/>
          <w:numId w:val="117"/>
        </w:numPr>
        <w:rPr>
          <w:rFonts w:ascii="Arial" w:cs="Arial" w:eastAsia="Arial" w:hAnsi="Arial"/>
          <w:sz w:val="17"/>
          <w:szCs w:val="17"/>
          <w:color w:val="auto"/>
        </w:rPr>
      </w:pPr>
      <w:r>
        <w:rPr>
          <w:rFonts w:ascii="Arial" w:cs="Arial" w:eastAsia="Arial" w:hAnsi="Arial"/>
          <w:sz w:val="17"/>
          <w:szCs w:val="17"/>
          <w:color w:val="auto"/>
        </w:rPr>
        <w:t>In the event that any change in market conditions or any Change in Law shall at any time after the date hereof, in the reasonable opinion of any Lender, make it unlawful or impractical for such Lender to fund or maintain LIBOR Rate Loans or to continue such funding or maintaining, or to determine or charge interest rates at the LIBOR Rate, such Lender shall give notice of such changed circumstances to Agent and Borrowers and Agent promptly shall transmit the notice to each other Lender and (y) in the case of any LIBOR Rate Loans of such Lender that are outstanding, the date specified in such Lender’s notice shall be deemed to be the last day of the Interest Period of such LIBOR Rate Loans, and interest upon the LIBOR Rate Loans of such Lender thereafter shall accrue interest at the rate then applicable to Base Rate Loans, and (z) Borrowers shall not be entitled to elect the LIBOR Option until such Lender determines that it would no longer be unlawful or impractical to do so.</w:t>
      </w:r>
    </w:p>
    <w:p>
      <w:pPr>
        <w:spacing w:after="0" w:line="173" w:lineRule="exact"/>
        <w:rPr>
          <w:rFonts w:ascii="Arial" w:cs="Arial" w:eastAsia="Arial" w:hAnsi="Arial"/>
          <w:sz w:val="17"/>
          <w:szCs w:val="17"/>
          <w:color w:val="auto"/>
        </w:rPr>
      </w:pPr>
    </w:p>
    <w:p>
      <w:pPr>
        <w:jc w:val="both"/>
        <w:ind w:firstLine="1304"/>
        <w:spacing w:after="0" w:line="266" w:lineRule="auto"/>
        <w:tabs>
          <w:tab w:leader="none" w:pos="2125" w:val="left"/>
        </w:tabs>
        <w:numPr>
          <w:ilvl w:val="0"/>
          <w:numId w:val="118"/>
        </w:numPr>
        <w:rPr>
          <w:rFonts w:ascii="Arial" w:cs="Arial" w:eastAsia="Arial" w:hAnsi="Arial"/>
          <w:sz w:val="18"/>
          <w:szCs w:val="18"/>
          <w:color w:val="010000"/>
        </w:rPr>
      </w:pPr>
      <w:r>
        <w:rPr>
          <w:rFonts w:ascii="Arial" w:cs="Arial" w:eastAsia="Arial" w:hAnsi="Arial"/>
          <w:sz w:val="18"/>
          <w:szCs w:val="18"/>
          <w:b w:val="1"/>
          <w:bCs w:val="1"/>
          <w:color w:val="auto"/>
        </w:rPr>
        <w:t>No Requirement of Matched Funding</w:t>
      </w:r>
      <w:r>
        <w:rPr>
          <w:rFonts w:ascii="Arial" w:cs="Arial" w:eastAsia="Arial" w:hAnsi="Arial"/>
          <w:sz w:val="18"/>
          <w:szCs w:val="18"/>
          <w:color w:val="auto"/>
        </w:rPr>
        <w:t>. Anything to the contrary contained herein notwithstanding, neither Agent, nor any</w:t>
      </w:r>
      <w:r>
        <w:rPr>
          <w:rFonts w:ascii="Arial" w:cs="Arial" w:eastAsia="Arial" w:hAnsi="Arial"/>
          <w:sz w:val="18"/>
          <w:szCs w:val="18"/>
          <w:b w:val="1"/>
          <w:bCs w:val="1"/>
          <w:color w:val="auto"/>
        </w:rPr>
        <w:t xml:space="preserve"> </w:t>
      </w:r>
      <w:r>
        <w:rPr>
          <w:rFonts w:ascii="Arial" w:cs="Arial" w:eastAsia="Arial" w:hAnsi="Arial"/>
          <w:sz w:val="18"/>
          <w:szCs w:val="18"/>
          <w:color w:val="auto"/>
        </w:rPr>
        <w:t>Lender, nor any of their Participants, is required actually to acquire eurodollar deposits to fund or otherwise match fund any Obligation as to which interest accrues at the LIBOR Rate.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98" w:name="page199"/>
    <w:bookmarkEnd w:id="198"/>
    <w:p>
      <w:pPr>
        <w:ind w:left="660"/>
        <w:spacing w:after="0"/>
        <w:tabs>
          <w:tab w:leader="none" w:pos="1320" w:val="left"/>
        </w:tabs>
        <w:rPr>
          <w:sz w:val="20"/>
          <w:szCs w:val="20"/>
          <w:color w:val="auto"/>
        </w:rPr>
      </w:pPr>
      <w:r>
        <w:rPr>
          <w:rFonts w:ascii="Arial" w:cs="Arial" w:eastAsia="Arial" w:hAnsi="Arial"/>
          <w:sz w:val="18"/>
          <w:szCs w:val="18"/>
          <w:color w:val="010000"/>
        </w:rPr>
        <w:t>2.13</w:t>
      </w:r>
      <w:r>
        <w:rPr>
          <w:sz w:val="20"/>
          <w:szCs w:val="20"/>
          <w:color w:val="auto"/>
        </w:rPr>
        <w:tab/>
      </w:r>
      <w:r>
        <w:rPr>
          <w:rFonts w:ascii="Arial" w:cs="Arial" w:eastAsia="Arial" w:hAnsi="Arial"/>
          <w:sz w:val="16"/>
          <w:szCs w:val="16"/>
          <w:b w:val="1"/>
          <w:bCs w:val="1"/>
          <w:u w:val="single" w:color="auto"/>
          <w:color w:val="auto"/>
        </w:rPr>
        <w:t>Capital Requirements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67" w:lineRule="auto"/>
        <w:tabs>
          <w:tab w:leader="none" w:pos="2179" w:val="left"/>
        </w:tabs>
        <w:numPr>
          <w:ilvl w:val="0"/>
          <w:numId w:val="119"/>
        </w:numPr>
        <w:rPr>
          <w:rFonts w:ascii="Arial" w:cs="Arial" w:eastAsia="Arial" w:hAnsi="Arial"/>
          <w:sz w:val="17"/>
          <w:szCs w:val="17"/>
          <w:color w:val="010000"/>
        </w:rPr>
      </w:pPr>
      <w:r>
        <w:rPr>
          <w:rFonts w:ascii="Arial" w:cs="Arial" w:eastAsia="Arial" w:hAnsi="Arial"/>
          <w:sz w:val="17"/>
          <w:szCs w:val="17"/>
          <w:color w:val="auto"/>
        </w:rPr>
        <w:t xml:space="preserve">If, after the date hereof, Issuing Bank or any Lender determines that (i) any Change in Law regarding capital, liquidity or reserve requirements for banks or bank holding companies, or (ii) compliance by Issuing Bank or such Lender, or their respective parent bank holding companies, with any guideline, request or directive of any Governmental Authority regarding capital adequacy or liquidity requirements (whether or not having the force of law), has the effect of reducing the return on Issuing Bank’s, such Lender’s, or such holding companies’ capital or liquidity as a consequence of Issuing Bank’s or such Lender’s commitments, Loans, participations or other obligations hereunder to a level below that which Issuing Bank, such Lender, or such holding companies could have achieved but for such Change in Law or compliance (taking into consideration Issuing Bank’s, such Lender’s, or such holding companies’ then existing policies with respect to capital adequacy or liquidity requirements and assuming the full utilization of such entity’s capital) by any amount deemed by Issuing Bank or such Lender to be material, then Issuing Bank or such Lender may notify Borrowers and Agent thereof. Following receipt of such notice, Borrowers agree to pay Issuing Bank or such Lender on demand the amount of such reduction of return of capital as and when such reduction is determined, payable within 30 days after presentation by Issuing Bank or such Lender of a statement in the amount and setting forth in reasonable detail Issuing Bank’s or such Lender’s calculation thereof and the assumptions upon which such calculation was based (which statement shall be deemed true and correct absent manifest error). In determining such amount, Issuing Bank or such Lender may use any reasonable averaging and attribution methods. Failure or delay on the part of Issuing Bank or any Lender to demand compensation pursuant to this Section shall not constitute a waiver of Issuing Bank’s or such Lender’s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Borrowers shall not be required to compensate Issuing Bank or a Lender pursuant to this Section for any reductions in return incurred more than 180 days prior to the date that Issuing Bank or such Lender notifies Borrowers of such Change in Law giving rise to such reductions and of such Lender’s intention to claim compensation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such claim arises by reason of the Change in Law that is retroactive, then the 180-day period referred to above shall be extended to include the period of retroactive effect thereof.</w:t>
      </w:r>
    </w:p>
    <w:p>
      <w:pPr>
        <w:spacing w:after="0" w:line="189" w:lineRule="exact"/>
        <w:rPr>
          <w:rFonts w:ascii="Arial" w:cs="Arial" w:eastAsia="Arial" w:hAnsi="Arial"/>
          <w:sz w:val="17"/>
          <w:szCs w:val="17"/>
          <w:color w:val="010000"/>
        </w:rPr>
      </w:pPr>
    </w:p>
    <w:p>
      <w:pPr>
        <w:jc w:val="both"/>
        <w:ind w:firstLine="1304"/>
        <w:spacing w:after="0" w:line="285" w:lineRule="auto"/>
        <w:tabs>
          <w:tab w:leader="none" w:pos="2189" w:val="left"/>
        </w:tabs>
        <w:numPr>
          <w:ilvl w:val="0"/>
          <w:numId w:val="119"/>
        </w:numPr>
        <w:rPr>
          <w:rFonts w:ascii="Arial" w:cs="Arial" w:eastAsia="Arial" w:hAnsi="Arial"/>
          <w:sz w:val="16"/>
          <w:szCs w:val="16"/>
          <w:color w:val="010000"/>
        </w:rPr>
      </w:pPr>
      <w:r>
        <w:rPr>
          <w:rFonts w:ascii="Arial" w:cs="Arial" w:eastAsia="Arial" w:hAnsi="Arial"/>
          <w:sz w:val="16"/>
          <w:szCs w:val="16"/>
          <w:color w:val="auto"/>
        </w:rPr>
        <w:t xml:space="preserve">If Issuing Bank or any Lender requests additional or increased costs referred to in </w:t>
      </w:r>
      <w:r>
        <w:rPr>
          <w:rFonts w:ascii="Arial" w:cs="Arial" w:eastAsia="Arial" w:hAnsi="Arial"/>
          <w:sz w:val="16"/>
          <w:szCs w:val="16"/>
          <w:u w:val="single" w:color="auto"/>
          <w:color w:val="auto"/>
        </w:rPr>
        <w:t>Section 2.11(l)</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2.12(d)(i)</w:t>
      </w:r>
      <w:r>
        <w:rPr>
          <w:rFonts w:ascii="Arial" w:cs="Arial" w:eastAsia="Arial" w:hAnsi="Arial"/>
          <w:sz w:val="16"/>
          <w:szCs w:val="16"/>
          <w:color w:val="auto"/>
        </w:rPr>
        <w:t xml:space="preserve"> or amounts under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or sends a notice under </w:t>
      </w:r>
      <w:r>
        <w:rPr>
          <w:rFonts w:ascii="Arial" w:cs="Arial" w:eastAsia="Arial" w:hAnsi="Arial"/>
          <w:sz w:val="16"/>
          <w:szCs w:val="16"/>
          <w:u w:val="single" w:color="auto"/>
          <w:color w:val="auto"/>
        </w:rPr>
        <w:t>Section 2.12(d)(ii)</w:t>
      </w:r>
      <w:r>
        <w:rPr>
          <w:rFonts w:ascii="Arial" w:cs="Arial" w:eastAsia="Arial" w:hAnsi="Arial"/>
          <w:sz w:val="16"/>
          <w:szCs w:val="16"/>
          <w:color w:val="auto"/>
        </w:rPr>
        <w:t xml:space="preserve"> relative to changed circumstances (such Issuing Bank or Lender, an “</w:t>
      </w:r>
      <w:r>
        <w:rPr>
          <w:rFonts w:ascii="Arial" w:cs="Arial" w:eastAsia="Arial" w:hAnsi="Arial"/>
          <w:sz w:val="16"/>
          <w:szCs w:val="16"/>
          <w:u w:val="single" w:color="auto"/>
          <w:color w:val="auto"/>
        </w:rPr>
        <w:t>Affected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then, at the request of Administrative Borrower, such Affected Lender shall use reasonable efforts to promptly designate a different one of its lending offices or to assign its rights and obligations hereunder to another of its offices or branches, if (i) in the reasonable judgment of such Affected Lender, such designation or assignment would eliminate or reduce amounts payable pursuant to </w:t>
      </w:r>
      <w:r>
        <w:rPr>
          <w:rFonts w:ascii="Arial" w:cs="Arial" w:eastAsia="Arial" w:hAnsi="Arial"/>
          <w:sz w:val="16"/>
          <w:szCs w:val="16"/>
          <w:u w:val="single" w:color="auto"/>
          <w:color w:val="auto"/>
        </w:rPr>
        <w:t>Section 2.11(l)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2.12(d)(i)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as applicable, or would eliminate the illegality or impracticality of funding or maintaining LIBOR Rate Loans, and (ii) in the reasonable judgment of such Affected Lender, such designation or assignment would not subject it to any material unreimbursed cost or expense and would not otherwise be materially disadvantageous to it. Borrowers agree to pay all reasonable out-of-pocket costs and expenses incurred by such Affected Lender in connection with any such designation or assignment. If, after such reasonable efforts, such Affected Lender does not so designate a different one of its lending offices or assign its rights to another of its offices or branches so as to eliminate Borrowers’ obligation to pay any future amounts to such Affected Lender pursuant to </w:t>
      </w:r>
      <w:r>
        <w:rPr>
          <w:rFonts w:ascii="Arial" w:cs="Arial" w:eastAsia="Arial" w:hAnsi="Arial"/>
          <w:sz w:val="16"/>
          <w:szCs w:val="16"/>
          <w:u w:val="single" w:color="auto"/>
          <w:color w:val="auto"/>
        </w:rPr>
        <w:t>Section 2.11(l)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2.12(d)(i)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as applicable, or to enable Borrowers to obtain LIBOR Rate Loans, then Borrowers (without prejudice to any amounts then due to such Affected Lender under </w:t>
      </w:r>
      <w:r>
        <w:rPr>
          <w:rFonts w:ascii="Arial" w:cs="Arial" w:eastAsia="Arial" w:hAnsi="Arial"/>
          <w:sz w:val="16"/>
          <w:szCs w:val="16"/>
          <w:u w:val="single" w:color="auto"/>
          <w:color w:val="auto"/>
        </w:rPr>
        <w:t>Section 2.11(l)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2.12(d)(i)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as applicable) may, unless prior to the effective date of any such assignment the Affected Lender withdraws its request for such additional amounts under </w:t>
      </w:r>
      <w:r>
        <w:rPr>
          <w:rFonts w:ascii="Arial" w:cs="Arial" w:eastAsia="Arial" w:hAnsi="Arial"/>
          <w:sz w:val="16"/>
          <w:szCs w:val="16"/>
          <w:u w:val="single" w:color="auto"/>
          <w:color w:val="auto"/>
        </w:rPr>
        <w:t>Section 2.11(l)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2.12(d)(i)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2.13(a)</w:t>
      </w:r>
      <w:r>
        <w:rPr>
          <w:rFonts w:ascii="Arial" w:cs="Arial" w:eastAsia="Arial" w:hAnsi="Arial"/>
          <w:sz w:val="16"/>
          <w:szCs w:val="16"/>
          <w:color w:val="auto"/>
        </w:rPr>
        <w:t>, as applicable, or indicates that it is no longer unlawful or impractical to fund or maintain LIBOR Rate Loans, may designate a different Issuing Bank or substitute a Lender or prospective Lender, in each case, reasonably acceptable to Agent to purchase the Obligations owed to such Affected Lender and such Affected Lender’s commitments hereunder (a “</w:t>
      </w:r>
      <w:r>
        <w:rPr>
          <w:rFonts w:ascii="Arial" w:cs="Arial" w:eastAsia="Arial" w:hAnsi="Arial"/>
          <w:sz w:val="16"/>
          <w:szCs w:val="16"/>
          <w:u w:val="single" w:color="auto"/>
          <w:color w:val="auto"/>
        </w:rPr>
        <w:t>Replacement Lender</w:t>
      </w:r>
      <w:r>
        <w:rPr>
          <w:rFonts w:ascii="Arial" w:cs="Arial" w:eastAsia="Arial" w:hAnsi="Arial"/>
          <w:sz w:val="16"/>
          <w:szCs w:val="16"/>
          <w:color w:val="auto"/>
        </w:rPr>
        <w:t>”), and if such Replacement Lender agrees to such purchase, such Affected Lender shall assign to the Replacement Lender its Obligations and commitments, and upon such purchase by the Replacement Lender, which such Replacement Lender shall be deemed to be “Issuing Bank” or a “Lender” (as the case may be) for purposes of this Agreement and such Affected Lender shall cease to be “Issuing Bank” or a “Lender” (as the case may be) for purposes of this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both"/>
        <w:ind w:firstLine="1304"/>
        <w:spacing w:after="0" w:line="273" w:lineRule="auto"/>
        <w:tabs>
          <w:tab w:leader="none" w:pos="2364" w:val="left"/>
        </w:tabs>
        <w:numPr>
          <w:ilvl w:val="0"/>
          <w:numId w:val="120"/>
        </w:numPr>
        <w:rPr>
          <w:rFonts w:ascii="Arial" w:cs="Arial" w:eastAsia="Arial" w:hAnsi="Arial"/>
          <w:sz w:val="17"/>
          <w:szCs w:val="17"/>
          <w:color w:val="010000"/>
        </w:rPr>
      </w:pPr>
      <w:r>
        <w:rPr>
          <w:rFonts w:ascii="Arial" w:cs="Arial" w:eastAsia="Arial" w:hAnsi="Arial"/>
          <w:sz w:val="17"/>
          <w:szCs w:val="17"/>
          <w:color w:val="auto"/>
        </w:rPr>
        <w:t xml:space="preserve">Notwithstanding anything herein to the contrary, the protection of </w:t>
      </w:r>
      <w:r>
        <w:rPr>
          <w:rFonts w:ascii="Arial" w:cs="Arial" w:eastAsia="Arial" w:hAnsi="Arial"/>
          <w:sz w:val="17"/>
          <w:szCs w:val="17"/>
          <w:u w:val="single" w:color="auto"/>
          <w:color w:val="auto"/>
        </w:rPr>
        <w:t>Sections 2.11(l)</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shall be available to Issuing Bank and each Lender (as applicable) regardless of any possible contention of the invalidity or inapplicability of the law, rule, regulation, judicial ruling, judgment, guideline, treaty or other change or condition which shall have occurred or been imposed, so long as it shall be customary for issuing banks or lenders affected thereby to comply therewith. Notwithstanding any other provision herein, neither Issuing Bank nor any Lender shall demand compensation pursuant to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if it shall not at the time be the general policy or practice of Issuing Bank or such Lender (as the case may be) to demand such compensation in similar circumstances under comparable provisions of other credit agreements, if any.</w:t>
      </w:r>
    </w:p>
    <w:p>
      <w:pPr>
        <w:spacing w:after="0" w:line="17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2.14</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2.15</w:t>
      </w:r>
      <w:r>
        <w:rPr>
          <w:sz w:val="20"/>
          <w:szCs w:val="20"/>
          <w:color w:val="auto"/>
        </w:rPr>
        <w:tab/>
      </w:r>
      <w:r>
        <w:rPr>
          <w:rFonts w:ascii="Arial" w:cs="Arial" w:eastAsia="Arial" w:hAnsi="Arial"/>
          <w:sz w:val="16"/>
          <w:szCs w:val="16"/>
          <w:b w:val="1"/>
          <w:bCs w:val="1"/>
          <w:u w:val="single" w:color="auto"/>
          <w:color w:val="auto"/>
        </w:rPr>
        <w:t>Joint and Several Liability of Borrowers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86" w:lineRule="auto"/>
        <w:tabs>
          <w:tab w:leader="none" w:pos="2085" w:val="left"/>
        </w:tabs>
        <w:numPr>
          <w:ilvl w:val="0"/>
          <w:numId w:val="121"/>
        </w:numPr>
        <w:rPr>
          <w:rFonts w:ascii="Arial" w:cs="Arial" w:eastAsia="Arial" w:hAnsi="Arial"/>
          <w:sz w:val="17"/>
          <w:szCs w:val="17"/>
          <w:color w:val="010000"/>
        </w:rPr>
      </w:pPr>
      <w:r>
        <w:rPr>
          <w:rFonts w:ascii="Arial" w:cs="Arial" w:eastAsia="Arial" w:hAnsi="Arial"/>
          <w:sz w:val="17"/>
          <w:szCs w:val="17"/>
          <w:color w:val="auto"/>
        </w:rPr>
        <w:t>Each Borrower is accepting joint and several liability hereunder and under the other Loan Documents in consideration of the financial accommodations to be provided by the Lender Group under this Agreement, for the mutual benefit, directly and indirectly, of each Borrower and in consideration of the undertakings of the other Borrowers to accept joint and several liability for the Obligations.</w:t>
      </w:r>
    </w:p>
    <w:p>
      <w:pPr>
        <w:spacing w:after="0" w:line="165" w:lineRule="exact"/>
        <w:rPr>
          <w:rFonts w:ascii="Arial" w:cs="Arial" w:eastAsia="Arial" w:hAnsi="Arial"/>
          <w:sz w:val="17"/>
          <w:szCs w:val="17"/>
          <w:color w:val="010000"/>
        </w:rPr>
      </w:pPr>
    </w:p>
    <w:p>
      <w:pPr>
        <w:jc w:val="both"/>
        <w:ind w:firstLine="1304"/>
        <w:spacing w:after="0" w:line="257" w:lineRule="auto"/>
        <w:tabs>
          <w:tab w:leader="none" w:pos="2081"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Arial" w:cs="Arial" w:eastAsia="Arial" w:hAnsi="Arial"/>
          <w:sz w:val="18"/>
          <w:szCs w:val="18"/>
          <w:u w:val="single" w:color="auto"/>
          <w:color w:val="auto"/>
        </w:rPr>
        <w:t>Section 2.15</w:t>
      </w:r>
      <w:r>
        <w:rPr>
          <w:rFonts w:ascii="Arial" w:cs="Arial" w:eastAsia="Arial" w:hAnsi="Arial"/>
          <w:sz w:val="18"/>
          <w:szCs w:val="18"/>
          <w:color w:val="auto"/>
        </w:rPr>
        <w:t>), it being the intention of the parties hereto that all the Obligations shall be the joint and several obligations of each Borrower without preferences or distinction among them. Accordingly, each Borrower hereby waives any and all suretyship defenses that would otherwise be available to such Borrower under applicable law.</w:t>
      </w:r>
    </w:p>
    <w:p>
      <w:pPr>
        <w:spacing w:after="0" w:line="187" w:lineRule="exact"/>
        <w:rPr>
          <w:rFonts w:ascii="Arial" w:cs="Arial" w:eastAsia="Arial" w:hAnsi="Arial"/>
          <w:sz w:val="18"/>
          <w:szCs w:val="18"/>
          <w:color w:val="010000"/>
        </w:rPr>
      </w:pPr>
    </w:p>
    <w:p>
      <w:pPr>
        <w:jc w:val="both"/>
        <w:ind w:firstLine="1304"/>
        <w:spacing w:after="0" w:line="259" w:lineRule="auto"/>
        <w:tabs>
          <w:tab w:leader="none" w:pos="2058"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If and to the extent that any Borrower shall fail to make any payment with respect to any of the Obligations as and when due, whether upon maturity, acceleration, or otherwise, or to perform any of the Obligations in accordance with the terms thereof, then in each such event the other Borrowers will make such payment with respect to, or perform, such Obligations until such time as all of the Obligations are paid in full, and without the need for demand, protest, or any other notice or formality.</w:t>
      </w:r>
    </w:p>
    <w:p>
      <w:pPr>
        <w:spacing w:after="0" w:line="186" w:lineRule="exact"/>
        <w:rPr>
          <w:rFonts w:ascii="Arial" w:cs="Arial" w:eastAsia="Arial" w:hAnsi="Arial"/>
          <w:sz w:val="18"/>
          <w:szCs w:val="18"/>
          <w:color w:val="010000"/>
        </w:rPr>
      </w:pPr>
    </w:p>
    <w:p>
      <w:pPr>
        <w:jc w:val="both"/>
        <w:ind w:firstLine="1304"/>
        <w:spacing w:after="0" w:line="286" w:lineRule="auto"/>
        <w:tabs>
          <w:tab w:leader="none" w:pos="2176" w:val="left"/>
        </w:tabs>
        <w:numPr>
          <w:ilvl w:val="0"/>
          <w:numId w:val="121"/>
        </w:numPr>
        <w:rPr>
          <w:rFonts w:ascii="Arial" w:cs="Arial" w:eastAsia="Arial" w:hAnsi="Arial"/>
          <w:sz w:val="17"/>
          <w:szCs w:val="17"/>
          <w:color w:val="010000"/>
        </w:rPr>
      </w:pPr>
      <w:r>
        <w:rPr>
          <w:rFonts w:ascii="Arial" w:cs="Arial" w:eastAsia="Arial" w:hAnsi="Arial"/>
          <w:sz w:val="17"/>
          <w:szCs w:val="17"/>
          <w:color w:val="auto"/>
        </w:rPr>
        <w:t xml:space="preserve">The Obligations of each Borrower under the provisions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constitute the absolute and unconditional, full recourse Obligations of each Borrower enforceable against each Borrower to the full extent of its properties and assets, irrespective of the validity, regularity or enforceability of the provisions of this Agreement (other than this </w:t>
      </w:r>
      <w:r>
        <w:rPr>
          <w:rFonts w:ascii="Arial" w:cs="Arial" w:eastAsia="Arial" w:hAnsi="Arial"/>
          <w:sz w:val="17"/>
          <w:szCs w:val="17"/>
          <w:u w:val="single" w:color="auto"/>
          <w:color w:val="auto"/>
        </w:rPr>
        <w:t>Section 2.15(d)</w:t>
      </w:r>
      <w:r>
        <w:rPr>
          <w:rFonts w:ascii="Arial" w:cs="Arial" w:eastAsia="Arial" w:hAnsi="Arial"/>
          <w:sz w:val="17"/>
          <w:szCs w:val="17"/>
          <w:color w:val="auto"/>
        </w:rPr>
        <w:t>) or any other circumstances whatsoever.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1304"/>
        <w:spacing w:after="0" w:line="283" w:lineRule="auto"/>
        <w:tabs>
          <w:tab w:leader="none" w:pos="2044" w:val="left"/>
        </w:tabs>
        <w:numPr>
          <w:ilvl w:val="0"/>
          <w:numId w:val="122"/>
        </w:numPr>
        <w:rPr>
          <w:rFonts w:ascii="Arial" w:cs="Arial" w:eastAsia="Arial" w:hAnsi="Arial"/>
          <w:sz w:val="16"/>
          <w:szCs w:val="16"/>
          <w:color w:val="010000"/>
        </w:rPr>
      </w:pPr>
      <w:r>
        <w:rPr>
          <w:rFonts w:ascii="Arial" w:cs="Arial" w:eastAsia="Arial" w:hAnsi="Arial"/>
          <w:sz w:val="16"/>
          <w:szCs w:val="16"/>
          <w:color w:val="auto"/>
        </w:rPr>
        <w:t xml:space="preserve">Without limiting the generality of the foregoing and except as otherwise expressly provided in this Agreement, each Borrower hereby waives presentments, demands for performance, protests and notices, including notices of acceptance of its joint and several liability, notice of any Revolving Loans or any Letters of Credit issued under or pursuant to this Agreement, notice of the occurrence of any Default, Event of Default, notices of nonperformance, notices of protest, notices of dishonor, notices of acceptance of this Agreement, notices of the existence, creation, or incurring of new or additional Obligations or other financial accommodations or of any demand for any payment under this Agreement, notice of any action at any time taken or omitted by Agent or Lenders under or in respect of any of the Obligations, any right to proceed against any other Borrower or any other Person, to proceed against or exhaust any security held from any other Borrower or any other Person, to protect, secure, perfect, or insure any security interest or Lien on any property subject thereto or exhaust any right to take any action against any other Borrower, any other Person, or any collateral, to pursue any other remedy in any member of the Lender Group’s or any Bank Product Provider’s power whatsoever, any requirement of diligence or to mitigate damages and, generally, to the extent permitted by applicable law, all demands, notices and other formalities of every kind in connection with this Agreement (except as otherwise provided in this Agreement), any right to assert against any member of the Lender Group or any Bank Product Provider, any defense (legal or equitable), set-off, counterclaim, or claim which each Borrower may now or at any time hereafter have against any other Borrower or any other party liable to any member of the Lender Group or any Bank Product Provider, any defense, set-off, counterclaim, or claim, of any kind or nature, arising directly or indirectly from the present or future lack of perfection, sufficiency, validity, or enforceability of the Obligations or any security therefor, and any right or defense arising by reason of any claim or defense based upon an election of remedies by any member of the Lender Group or any Bank Product Provider including any defense based upon an impairment or elimination of such Borrower’s rights of subrogation, reimbursement, contribution, or indemnity of such Borrower against any other Borrower. Without limiting the generality of the foregoing,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Agent or Lenders at any time or times in respect of any default by any Borrower in the performance or satisfaction of any term, covenant, condition or provision of this Agreement, any and all other indulgences whatsoever by Agent or Lenders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any Agent or Lender with respect to the failure by any Borrower to comply with any of its respective Obligations, including any failure strictly or diligently to assert any right or to pursue any remedy or to comply fully with applicable laws or regulations thereunder, which might, but for 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afford grounds for terminating, discharging or relieving any Borrower, in whole or in part, from any of its Obligations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it being the intention of each Borrower that, so long as any of the Obligations hereunder remain unsatisfied, the Obligations of each Borrower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not be discharged except by performance and then only to the extent of such performance. The Obligations of each Borrower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not be diminished or rendered unenforceable by any winding up, reorganization, arrangement, liquidation, reconstruction or similar proceeding with respect to any other Borrower or any Agent or Lender. Each of the Borrowers waives, to the fullest extent permitted by law, the benefit of any statute of limitations affecting its liability hereunder or the enforcement hereof. Any payment by any Borrower or other circumstance which operates to toll any statute of limitations as to any Borrower shall operate to toll the statute of limitations as to each of the Borrowers. Each of the Borrowers waives any defense based on or arising out of any defense of any Borrower or any other Person, other than payment of the Obligations to the extent of such payment, based on or arising out of the disability of any Borrower or any other Person, or the validity, legality, or unenforceability of the Obligations or any part thereof from any cause, or the cessation from any cause of the liability of any Borrower other than payment of the Obligations to the extent of such payment. Agent may, at the election of the Required Lenders, foreclose upon any Collateral held by Agent by one or more judicial or nonjudicial sales or other dispositions, whether or not every aspect of any such sale is commercially reasonable or otherwise fails to comply with applicable law or may exercise any other right or remedy Agent, any other member of the Lender Group, or any Bank Product Provider may have against any Borrower or any other Person, or any security, in each case, without affecting or impairing in any way the liability of any of the Borrowers hereunder except to the extent the Obligations have been paid.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firstLine="1304"/>
        <w:spacing w:after="0" w:line="275" w:lineRule="auto"/>
        <w:tabs>
          <w:tab w:leader="none" w:pos="2286" w:val="left"/>
        </w:tabs>
        <w:numPr>
          <w:ilvl w:val="0"/>
          <w:numId w:val="123"/>
        </w:numPr>
        <w:rPr>
          <w:rFonts w:ascii="Arial" w:cs="Arial" w:eastAsia="Arial" w:hAnsi="Arial"/>
          <w:sz w:val="17"/>
          <w:szCs w:val="17"/>
          <w:color w:val="010000"/>
        </w:rPr>
      </w:pPr>
      <w:r>
        <w:rPr>
          <w:rFonts w:ascii="Arial" w:cs="Arial" w:eastAsia="Arial" w:hAnsi="Arial"/>
          <w:sz w:val="17"/>
          <w:szCs w:val="17"/>
          <w:color w:val="auto"/>
        </w:rPr>
        <w:t>Each Borrower represents and warrants to Agent and Lenders that such Borrower is currently informed of the financial condition of Borrowers and of all other circumstances which a diligent inquiry would reveal and which bear upon the risk of nonpayment of the Obligations. Each Borrower further represents and warrants to Agent and Lenders that such Borrower has read and understands the terms and conditions of the Loan Documents. Each Borrower hereby covenants that such Borrower will continue to keep informed of Borrowers’ financial condition and of all other circumstances which bear upon the risk of nonpayment or nonperformance of the Obligations.</w:t>
      </w:r>
    </w:p>
    <w:p>
      <w:pPr>
        <w:spacing w:after="0" w:line="176" w:lineRule="exact"/>
        <w:rPr>
          <w:rFonts w:ascii="Arial" w:cs="Arial" w:eastAsia="Arial" w:hAnsi="Arial"/>
          <w:sz w:val="17"/>
          <w:szCs w:val="17"/>
          <w:color w:val="010000"/>
        </w:rPr>
      </w:pPr>
    </w:p>
    <w:p>
      <w:pPr>
        <w:jc w:val="both"/>
        <w:ind w:firstLine="1304"/>
        <w:spacing w:after="0" w:line="270" w:lineRule="auto"/>
        <w:tabs>
          <w:tab w:leader="none" w:pos="2081" w:val="left"/>
        </w:tabs>
        <w:numPr>
          <w:ilvl w:val="0"/>
          <w:numId w:val="123"/>
        </w:numPr>
        <w:rPr>
          <w:rFonts w:ascii="Arial" w:cs="Arial" w:eastAsia="Arial" w:hAnsi="Arial"/>
          <w:sz w:val="17"/>
          <w:szCs w:val="17"/>
          <w:color w:val="010000"/>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are made for the benefit of Agent, each member of the Lender Group, each Bank Product Provider, and their respective successors and assigns, and may be enforced by it or them from time to time against any or all Borrowers as often as occasion therefor may arise and without requirement on the part of Agent, any member of the Lender Group, any Bank Product Provider, or any of their successors or assigns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Agent or any Lender upon the insolvency, bankruptcy or reorganization of any Borrower, or otherwise, the provisions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will forthwith be reinstated in effect, as though such payment had not been made.</w:t>
      </w:r>
    </w:p>
    <w:p>
      <w:pPr>
        <w:spacing w:after="0" w:line="180" w:lineRule="exact"/>
        <w:rPr>
          <w:rFonts w:ascii="Arial" w:cs="Arial" w:eastAsia="Arial" w:hAnsi="Arial"/>
          <w:sz w:val="17"/>
          <w:szCs w:val="17"/>
          <w:color w:val="010000"/>
        </w:rPr>
      </w:pPr>
    </w:p>
    <w:p>
      <w:pPr>
        <w:jc w:val="both"/>
        <w:ind w:firstLine="1304"/>
        <w:spacing w:after="0" w:line="285" w:lineRule="auto"/>
        <w:tabs>
          <w:tab w:leader="none" w:pos="2108" w:val="left"/>
        </w:tabs>
        <w:numPr>
          <w:ilvl w:val="0"/>
          <w:numId w:val="123"/>
        </w:numPr>
        <w:rPr>
          <w:rFonts w:ascii="Arial" w:cs="Arial" w:eastAsia="Arial" w:hAnsi="Arial"/>
          <w:sz w:val="16"/>
          <w:szCs w:val="16"/>
          <w:color w:val="010000"/>
        </w:rPr>
      </w:pPr>
      <w:r>
        <w:rPr>
          <w:rFonts w:ascii="Arial" w:cs="Arial" w:eastAsia="Arial" w:hAnsi="Arial"/>
          <w:sz w:val="16"/>
          <w:szCs w:val="16"/>
          <w:color w:val="auto"/>
        </w:rPr>
        <w:t xml:space="preserve">Each Borrower hereby agrees that it will not enforce any of its rights that arise from the existence, payment, performance or enforcement of 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including rights of subrogation, reimbursement, exoneration, contribution or indemnification and any right to participate in any claim or remedy of Agent, any other member of the Lender Group, or any Bank Product Provider against any Borrower, whether or not such claim, remedy or right arises in equity or under contract, statute or common law, including the right to take or receive from any Borrower, directly or indirectly, in cash or other property or by set-off or in any other manner, payment or security solely on account of such claim, remedy or right, unless and until such time as all of the Obligations have been paid in full in cash. Any claim which any Borrower may have against any other Borrower with respect to any payments to any Agent or any member of the Lender Group hereunder or under any of the Bank Product Agreements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 If any amount shall be paid to any Borrower in violation of the immediately preceding sentence, such amount shall be held in trust for the benefit of Agent, for the benefit of the Lender Group and the Bank Product Providers, and shall forthwith be paid to Agent to be credited and applied to the Obligations and all other amounts payable under this Agreement, whether matured or unmatured, in accordance with the terms of this Agreement, or to be held as Collateral for any Obligations or other amounts payable under this Agreement thereafter arising. Notwithstanding anything to the contrary contained in this Agreement, no Borrower may exercise any rights of subrogation, contribution, indemnity, reimbursement or other similar rights against, and may not proceed or seek recourse against or with respect to any property or asset of, any other Borrower (the “</w:t>
      </w:r>
      <w:r>
        <w:rPr>
          <w:rFonts w:ascii="Arial" w:cs="Arial" w:eastAsia="Arial" w:hAnsi="Arial"/>
          <w:sz w:val="16"/>
          <w:szCs w:val="16"/>
          <w:u w:val="single" w:color="auto"/>
          <w:color w:val="auto"/>
        </w:rPr>
        <w:t>Foreclosed Borrower</w:t>
      </w:r>
      <w:r>
        <w:rPr>
          <w:rFonts w:ascii="Arial" w:cs="Arial" w:eastAsia="Arial" w:hAnsi="Arial"/>
          <w:sz w:val="16"/>
          <w:szCs w:val="16"/>
          <w:color w:val="auto"/>
        </w:rPr>
        <w:t>”), including after payment in full of the Obligations, if all or any portion of the Obligations have been satisfied in connection with an exercise of remedies in respect of the Equity Interests of such Foreclosed Borrower whether pursuant to this Agreement or otherwise.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firstLine="1304"/>
        <w:spacing w:after="0" w:line="257" w:lineRule="auto"/>
        <w:tabs>
          <w:tab w:leader="none" w:pos="2114" w:val="left"/>
        </w:tabs>
        <w:numPr>
          <w:ilvl w:val="1"/>
          <w:numId w:val="124"/>
        </w:numPr>
        <w:rPr>
          <w:rFonts w:ascii="Arial" w:cs="Arial" w:eastAsia="Arial" w:hAnsi="Arial"/>
          <w:sz w:val="18"/>
          <w:szCs w:val="18"/>
          <w:color w:val="010000"/>
        </w:rPr>
      </w:pPr>
      <w:r>
        <w:rPr>
          <w:rFonts w:ascii="Arial" w:cs="Arial" w:eastAsia="Arial" w:hAnsi="Arial"/>
          <w:sz w:val="18"/>
          <w:szCs w:val="18"/>
          <w:color w:val="auto"/>
        </w:rPr>
        <w:t>Each of the Borrowers hereby acknowledges and affirms that it understands that to the extent the Obligations are secured by Real Property located in California, the Borrowers shall be liable for the full amount of the liability hereunder notwithstanding the foreclosure on such Real Property by trustee sale or any other reason impairing such Borrower’s right to proceed against any other Loan Party. In accordance with Section 2856 of the California Civil Code or any similar laws of any other applicable jurisdiction, each of the Borrowers hereby waives until such time as the Obligations have been paid in full:</w:t>
      </w:r>
    </w:p>
    <w:p>
      <w:pPr>
        <w:spacing w:after="0" w:line="187" w:lineRule="exact"/>
        <w:rPr>
          <w:rFonts w:ascii="Arial" w:cs="Arial" w:eastAsia="Arial" w:hAnsi="Arial"/>
          <w:sz w:val="18"/>
          <w:szCs w:val="18"/>
          <w:color w:val="010000"/>
        </w:rPr>
      </w:pPr>
    </w:p>
    <w:p>
      <w:pPr>
        <w:jc w:val="both"/>
        <w:ind w:firstLine="1952"/>
        <w:spacing w:after="0" w:line="263" w:lineRule="auto"/>
        <w:tabs>
          <w:tab w:leader="none" w:pos="2955"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all rights of subrogation, reimbursement, indemnification, and contribution and any other rights and defenses that are or may become available to the Borrowers by reason of Sections 2787 to 2855, inclusive, 2899, and 3433 of the California Civil Code or any similar laws of any other applicable jurisdiction;</w:t>
      </w:r>
    </w:p>
    <w:p>
      <w:pPr>
        <w:spacing w:after="0" w:line="183" w:lineRule="exact"/>
        <w:rPr>
          <w:rFonts w:ascii="Arial" w:cs="Arial" w:eastAsia="Arial" w:hAnsi="Arial"/>
          <w:sz w:val="18"/>
          <w:szCs w:val="18"/>
          <w:color w:val="auto"/>
        </w:rPr>
      </w:pPr>
    </w:p>
    <w:p>
      <w:pPr>
        <w:jc w:val="both"/>
        <w:ind w:firstLine="1952"/>
        <w:spacing w:after="0" w:line="289" w:lineRule="auto"/>
        <w:tabs>
          <w:tab w:leader="none" w:pos="2852" w:val="left"/>
        </w:tabs>
        <w:numPr>
          <w:ilvl w:val="2"/>
          <w:numId w:val="124"/>
        </w:numPr>
        <w:rPr>
          <w:rFonts w:ascii="Arial" w:cs="Arial" w:eastAsia="Arial" w:hAnsi="Arial"/>
          <w:sz w:val="16"/>
          <w:szCs w:val="16"/>
          <w:color w:val="auto"/>
        </w:rPr>
      </w:pPr>
      <w:r>
        <w:rPr>
          <w:rFonts w:ascii="Arial" w:cs="Arial" w:eastAsia="Arial" w:hAnsi="Arial"/>
          <w:sz w:val="16"/>
          <w:szCs w:val="16"/>
          <w:color w:val="auto"/>
        </w:rPr>
        <w:t>all rights and defenses that the Borrowers may have because the Obligations are secured by Real Property located in California, meaning, among other things, that: (A) Agent, the other members of the Lender Group, and the Bank Product Providers may collect from the Borrowers without first foreclosing on any real or personal property collateral pledged by any Loan Party, and (B) if Agent, on behalf of the Lender Group, forecloses on any Real Property Collateral pledged by any Loan Party, (1) the amount of the Obligations may be reduced only by the price for which that collateral is sold at the foreclosure sale, even if the collateral is worth more than the sale price, and (2) the Lender Group may collect from the Loan Parties even if, by foreclosing on the Real Property Collateral, Agent or the other members of the Lender Group have destroyed or impaired any right the Borrowers may have to collect from any other Loan Party, it being understood that this is an unconditional and irrevocable waiver of any rights and defenses the Borrowers may have because the Obligations are secured by Real Property (including, without limitation, any rights or defenses based upon Sections 580a, 580d, or 726 of the California Code of Civil Procedure or any similar laws of any other applicable jurisdiction); and</w:t>
      </w:r>
    </w:p>
    <w:p>
      <w:pPr>
        <w:spacing w:after="0" w:line="166" w:lineRule="exact"/>
        <w:rPr>
          <w:rFonts w:ascii="Arial" w:cs="Arial" w:eastAsia="Arial" w:hAnsi="Arial"/>
          <w:sz w:val="16"/>
          <w:szCs w:val="16"/>
          <w:color w:val="auto"/>
        </w:rPr>
      </w:pPr>
    </w:p>
    <w:p>
      <w:pPr>
        <w:jc w:val="both"/>
        <w:ind w:firstLine="1952"/>
        <w:spacing w:after="0" w:line="259" w:lineRule="auto"/>
        <w:tabs>
          <w:tab w:leader="none" w:pos="2826"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all rights and defenses arising out of an election of remedies by Agent, the other members of the Lender Group, and the Bank Product Providers, even though that election of remedies, such as a nonjudicial foreclosure with respect to security for the Obligations, has destroyed the Borrowers’ rights of subrogation and reimbursement against any other Loan Party by the operation of Section 580d of the California Code of Civil Procedure or any similar laws of any other applicable jurisdiction or otherwise.</w:t>
      </w:r>
    </w:p>
    <w:p>
      <w:pPr>
        <w:spacing w:after="0" w:line="182" w:lineRule="exact"/>
        <w:rPr>
          <w:rFonts w:ascii="Arial" w:cs="Arial" w:eastAsia="Arial" w:hAnsi="Arial"/>
          <w:sz w:val="18"/>
          <w:szCs w:val="18"/>
          <w:color w:val="auto"/>
        </w:rPr>
      </w:pPr>
    </w:p>
    <w:p>
      <w:pPr>
        <w:ind w:left="720" w:hanging="712"/>
        <w:spacing w:after="0"/>
        <w:tabs>
          <w:tab w:leader="none" w:pos="720" w:val="left"/>
        </w:tabs>
        <w:numPr>
          <w:ilvl w:val="0"/>
          <w:numId w:val="125"/>
        </w:numPr>
        <w:rPr>
          <w:rFonts w:ascii="Arial" w:cs="Arial" w:eastAsia="Arial" w:hAnsi="Arial"/>
          <w:sz w:val="18"/>
          <w:szCs w:val="18"/>
          <w:color w:val="010000"/>
        </w:rPr>
      </w:pPr>
      <w:r>
        <w:rPr>
          <w:rFonts w:ascii="Arial" w:cs="Arial" w:eastAsia="Arial" w:hAnsi="Arial"/>
          <w:sz w:val="18"/>
          <w:szCs w:val="18"/>
          <w:b w:val="1"/>
          <w:bCs w:val="1"/>
          <w:color w:val="auto"/>
        </w:rPr>
        <w:t>CONDITIONS; TERM OF AGREEMENT.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010000"/>
        </w:rPr>
        <w:t xml:space="preserve">3.1 </w:t>
      </w:r>
      <w:r>
        <w:rPr>
          <w:rFonts w:ascii="Arial" w:cs="Arial" w:eastAsia="Arial" w:hAnsi="Arial"/>
          <w:sz w:val="18"/>
          <w:szCs w:val="18"/>
          <w:b w:val="1"/>
          <w:bCs w:val="1"/>
          <w:u w:val="single" w:color="auto"/>
          <w:color w:val="000000"/>
        </w:rPr>
        <w:t>Conditions Precedent to the Initial Extension of Credit</w:t>
      </w:r>
      <w:r>
        <w:rPr>
          <w:rFonts w:ascii="Arial" w:cs="Arial" w:eastAsia="Arial" w:hAnsi="Arial"/>
          <w:sz w:val="18"/>
          <w:szCs w:val="18"/>
          <w:color w:val="000000"/>
        </w:rPr>
        <w:t>. The obligation of each Lender to make the initial extensions of credit</w:t>
      </w:r>
      <w:r>
        <w:rPr>
          <w:rFonts w:ascii="Arial" w:cs="Arial" w:eastAsia="Arial" w:hAnsi="Arial"/>
          <w:sz w:val="18"/>
          <w:szCs w:val="18"/>
          <w:color w:val="010000"/>
        </w:rPr>
        <w:t xml:space="preserve"> </w:t>
      </w:r>
      <w:r>
        <w:rPr>
          <w:rFonts w:ascii="Arial" w:cs="Arial" w:eastAsia="Arial" w:hAnsi="Arial"/>
          <w:sz w:val="18"/>
          <w:szCs w:val="18"/>
          <w:color w:val="000000"/>
        </w:rPr>
        <w:t xml:space="preserve">provided for hereunder is subject to the fulfillment of each of the conditions precedent set forth on </w:t>
      </w:r>
      <w:r>
        <w:rPr>
          <w:rFonts w:ascii="Arial" w:cs="Arial" w:eastAsia="Arial" w:hAnsi="Arial"/>
          <w:sz w:val="18"/>
          <w:szCs w:val="18"/>
          <w:u w:val="single" w:color="auto"/>
          <w:color w:val="000000"/>
        </w:rPr>
        <w:t>Schedule 3.1</w:t>
      </w:r>
      <w:r>
        <w:rPr>
          <w:rFonts w:ascii="Arial" w:cs="Arial" w:eastAsia="Arial" w:hAnsi="Arial"/>
          <w:sz w:val="18"/>
          <w:szCs w:val="18"/>
          <w:color w:val="000000"/>
        </w:rPr>
        <w:t xml:space="preserve"> to this Agreement.</w:t>
      </w:r>
    </w:p>
    <w:p>
      <w:pPr>
        <w:spacing w:after="0" w:line="162"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color w:val="010000"/>
        </w:rPr>
        <w:t>3.2</w:t>
      </w:r>
      <w:r>
        <w:rPr>
          <w:sz w:val="20"/>
          <w:szCs w:val="20"/>
          <w:color w:val="auto"/>
        </w:rPr>
        <w:tab/>
      </w:r>
      <w:r>
        <w:rPr>
          <w:rFonts w:ascii="Arial" w:cs="Arial" w:eastAsia="Arial" w:hAnsi="Arial"/>
          <w:sz w:val="17"/>
          <w:szCs w:val="17"/>
          <w:b w:val="1"/>
          <w:bCs w:val="1"/>
          <w:u w:val="single" w:color="auto"/>
          <w:color w:val="auto"/>
        </w:rPr>
        <w:t>Conditions Precedent to all Extensions of Credit</w:t>
      </w:r>
      <w:r>
        <w:rPr>
          <w:rFonts w:ascii="Arial" w:cs="Arial" w:eastAsia="Arial" w:hAnsi="Arial"/>
          <w:sz w:val="17"/>
          <w:szCs w:val="17"/>
          <w:color w:val="auto"/>
        </w:rPr>
        <w:t>. The obligation of the Lender Group (or any member thereof) to make 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Revolving Loans hereunder (or to extend any other credit hereunder) at any time shall be subject to the following conditions precedent:</w:t>
      </w:r>
    </w:p>
    <w:p>
      <w:pPr>
        <w:spacing w:after="0" w:line="211" w:lineRule="exact"/>
        <w:rPr>
          <w:sz w:val="20"/>
          <w:szCs w:val="20"/>
          <w:color w:val="auto"/>
        </w:rPr>
      </w:pPr>
    </w:p>
    <w:p>
      <w:pPr>
        <w:jc w:val="both"/>
        <w:ind w:firstLine="1304"/>
        <w:spacing w:after="0" w:line="254" w:lineRule="auto"/>
        <w:tabs>
          <w:tab w:leader="none" w:pos="2337"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the representations and warranties of each Loan Party or its Subsidiaries contained in this Agreement or in the other Loan Documents (other than any “Loan Document” as defined in the Existing Credit Agreement) shall be true and correct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w:t>
      </w:r>
    </w:p>
    <w:p>
      <w:pPr>
        <w:spacing w:after="0" w:line="194" w:lineRule="exact"/>
        <w:rPr>
          <w:rFonts w:ascii="Arial" w:cs="Arial" w:eastAsia="Arial" w:hAnsi="Arial"/>
          <w:sz w:val="18"/>
          <w:szCs w:val="18"/>
          <w:color w:val="010000"/>
        </w:rPr>
      </w:pPr>
    </w:p>
    <w:p>
      <w:pPr>
        <w:ind w:left="2260" w:hanging="956"/>
        <w:spacing w:after="0"/>
        <w:tabs>
          <w:tab w:leader="none" w:pos="2260" w:val="left"/>
        </w:tabs>
        <w:numPr>
          <w:ilvl w:val="0"/>
          <w:numId w:val="126"/>
        </w:numPr>
        <w:rPr>
          <w:rFonts w:ascii="Arial" w:cs="Arial" w:eastAsia="Arial" w:hAnsi="Arial"/>
          <w:sz w:val="16"/>
          <w:szCs w:val="16"/>
          <w:color w:val="010000"/>
        </w:rPr>
      </w:pPr>
      <w:r>
        <w:rPr>
          <w:rFonts w:ascii="Arial" w:cs="Arial" w:eastAsia="Arial" w:hAnsi="Arial"/>
          <w:sz w:val="16"/>
          <w:szCs w:val="16"/>
          <w:color w:val="auto"/>
        </w:rPr>
        <w:t>no Default or Event of Default shall have occurred and be continuing on the date of such extension of credit, nor shall either</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result from the making thereof.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648"/>
        <w:spacing w:after="0" w:line="282"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b w:val="1"/>
          <w:bCs w:val="1"/>
          <w:u w:val="single" w:color="auto"/>
          <w:color w:val="000000"/>
        </w:rPr>
        <w:t>Maturity</w:t>
      </w:r>
      <w:r>
        <w:rPr>
          <w:rFonts w:ascii="Arial" w:cs="Arial" w:eastAsia="Arial" w:hAnsi="Arial"/>
          <w:sz w:val="18"/>
          <w:szCs w:val="18"/>
          <w:color w:val="000000"/>
        </w:rPr>
        <w:t>. The Commitments shall continue in full force and effect for a term ending on the Maturity Date (unless terminated earlier in</w:t>
      </w:r>
      <w:r>
        <w:rPr>
          <w:rFonts w:ascii="Arial" w:cs="Arial" w:eastAsia="Arial" w:hAnsi="Arial"/>
          <w:sz w:val="18"/>
          <w:szCs w:val="18"/>
          <w:color w:val="010000"/>
        </w:rPr>
        <w:t xml:space="preserve"> </w:t>
      </w:r>
      <w:r>
        <w:rPr>
          <w:rFonts w:ascii="Arial" w:cs="Arial" w:eastAsia="Arial" w:hAnsi="Arial"/>
          <w:sz w:val="18"/>
          <w:szCs w:val="18"/>
          <w:color w:val="000000"/>
        </w:rPr>
        <w:t>accordance with the terms hereof).</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 xml:space="preserve">3.4 </w:t>
      </w:r>
      <w:r>
        <w:rPr>
          <w:rFonts w:ascii="Arial" w:cs="Arial" w:eastAsia="Arial" w:hAnsi="Arial"/>
          <w:sz w:val="18"/>
          <w:szCs w:val="18"/>
          <w:b w:val="1"/>
          <w:bCs w:val="1"/>
          <w:u w:val="single" w:color="auto"/>
          <w:color w:val="000000"/>
        </w:rPr>
        <w:t>Effect of Maturity</w:t>
      </w:r>
      <w:r>
        <w:rPr>
          <w:rFonts w:ascii="Arial" w:cs="Arial" w:eastAsia="Arial" w:hAnsi="Arial"/>
          <w:sz w:val="18"/>
          <w:szCs w:val="18"/>
          <w:color w:val="000000"/>
        </w:rPr>
        <w:t>. On the Maturity Date, all commitments of the Lender Group to provide additional credit hereunder shall</w:t>
      </w:r>
      <w:r>
        <w:rPr>
          <w:rFonts w:ascii="Arial" w:cs="Arial" w:eastAsia="Arial" w:hAnsi="Arial"/>
          <w:sz w:val="18"/>
          <w:szCs w:val="18"/>
          <w:color w:val="010000"/>
        </w:rPr>
        <w:t xml:space="preserve"> </w:t>
      </w:r>
      <w:r>
        <w:rPr>
          <w:rFonts w:ascii="Arial" w:cs="Arial" w:eastAsia="Arial" w:hAnsi="Arial"/>
          <w:sz w:val="18"/>
          <w:szCs w:val="18"/>
          <w:color w:val="000000"/>
        </w:rPr>
        <w:t>automatically be terminated and all of the Obligations (other than Hedge Obligations) immediately shall become due and payable without notice or demand and Borrowers shall be required to repay all of the Obligations (other than Hedge Obligations) in full. No termination of the obligations of the Lender Group (other than payment in full of the Obligations and termination of the Commitments) shall relieve or discharge any Loan Party of its duties, obligations, or covenants hereunder or under any other Loan Document and Agent’s Liens in the Collateral shall continue to secure the Obligations and shall remain in effect until all Obligations (other than contingent obligations with respect to which no claim has been made) have been paid in full. When all of the Obligations have been paid in full (other than contingent obligations with respect to which no claim has been made), Agent will, at Borrowers’ sole expense, execute and deliver any termination statements, lien releases, discharges of security interests, and other similar discharge or release documents (and, if applicable, in recordable form) as are reasonably necessary to release, as of record, Agent’s Liens and all notices of security interests and liens previously filed by Agent.</w:t>
      </w:r>
    </w:p>
    <w:p>
      <w:pPr>
        <w:spacing w:after="0" w:line="1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010000"/>
        </w:rPr>
        <w:t xml:space="preserve">3.5 </w:t>
      </w:r>
      <w:r>
        <w:rPr>
          <w:rFonts w:ascii="Arial" w:cs="Arial" w:eastAsia="Arial" w:hAnsi="Arial"/>
          <w:sz w:val="18"/>
          <w:szCs w:val="18"/>
          <w:b w:val="1"/>
          <w:bCs w:val="1"/>
          <w:u w:val="single" w:color="auto"/>
          <w:color w:val="000000"/>
        </w:rPr>
        <w:t>Early Termination by Borrowers</w:t>
      </w:r>
      <w:r>
        <w:rPr>
          <w:rFonts w:ascii="Arial" w:cs="Arial" w:eastAsia="Arial" w:hAnsi="Arial"/>
          <w:sz w:val="18"/>
          <w:szCs w:val="18"/>
          <w:color w:val="000000"/>
        </w:rPr>
        <w:t>. Borrowers have the option, at any time upon five Business Days prior written notice to Agent, to</w:t>
      </w:r>
      <w:r>
        <w:rPr>
          <w:rFonts w:ascii="Arial" w:cs="Arial" w:eastAsia="Arial" w:hAnsi="Arial"/>
          <w:sz w:val="18"/>
          <w:szCs w:val="18"/>
          <w:color w:val="010000"/>
        </w:rPr>
        <w:t xml:space="preserve"> </w:t>
      </w:r>
      <w:r>
        <w:rPr>
          <w:rFonts w:ascii="Arial" w:cs="Arial" w:eastAsia="Arial" w:hAnsi="Arial"/>
          <w:sz w:val="18"/>
          <w:szCs w:val="18"/>
          <w:color w:val="000000"/>
        </w:rPr>
        <w:t>repay all of the Obligations in full and terminate the Commitments. The foregoing notwithstanding, (a) Borrowers may rescind termination notices or make any termination notice conditional upon the occurrence of any event, including a refinancing, and (b) Borrowers may extend the date of termination at any time with the consent of Agent (which consent shall not be unreasonably withheld or delayed).</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010000"/>
        </w:rPr>
        <w:t xml:space="preserve">3.6 </w:t>
      </w:r>
      <w:r>
        <w:rPr>
          <w:rFonts w:ascii="Arial" w:cs="Arial" w:eastAsia="Arial" w:hAnsi="Arial"/>
          <w:sz w:val="18"/>
          <w:szCs w:val="18"/>
          <w:b w:val="1"/>
          <w:bCs w:val="1"/>
          <w:u w:val="single" w:color="auto"/>
          <w:color w:val="000000"/>
        </w:rPr>
        <w:t>Conditions Subsequent</w:t>
      </w:r>
      <w:r>
        <w:rPr>
          <w:rFonts w:ascii="Arial" w:cs="Arial" w:eastAsia="Arial" w:hAnsi="Arial"/>
          <w:sz w:val="18"/>
          <w:szCs w:val="18"/>
          <w:color w:val="000000"/>
        </w:rPr>
        <w:t>. The obligation of the Lender Group (or any member thereof) to continue to make Revolving Loans (or</w:t>
      </w:r>
      <w:r>
        <w:rPr>
          <w:rFonts w:ascii="Arial" w:cs="Arial" w:eastAsia="Arial" w:hAnsi="Arial"/>
          <w:sz w:val="18"/>
          <w:szCs w:val="18"/>
          <w:color w:val="010000"/>
        </w:rPr>
        <w:t xml:space="preserve"> </w:t>
      </w:r>
      <w:r>
        <w:rPr>
          <w:rFonts w:ascii="Arial" w:cs="Arial" w:eastAsia="Arial" w:hAnsi="Arial"/>
          <w:sz w:val="18"/>
          <w:szCs w:val="18"/>
          <w:color w:val="000000"/>
        </w:rPr>
        <w:t xml:space="preserve">otherwise extend credit hereunder) is subject to the fulfillment, on or before the date applicable thereto, of the conditions subsequent set forth on </w:t>
      </w:r>
      <w:r>
        <w:rPr>
          <w:rFonts w:ascii="Arial" w:cs="Arial" w:eastAsia="Arial" w:hAnsi="Arial"/>
          <w:sz w:val="18"/>
          <w:szCs w:val="18"/>
          <w:u w:val="single" w:color="auto"/>
          <w:color w:val="000000"/>
        </w:rPr>
        <w:t>Schedule</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3.6</w:t>
      </w:r>
      <w:r>
        <w:rPr>
          <w:rFonts w:ascii="Arial" w:cs="Arial" w:eastAsia="Arial" w:hAnsi="Arial"/>
          <w:sz w:val="18"/>
          <w:szCs w:val="18"/>
          <w:color w:val="000000"/>
        </w:rPr>
        <w:t xml:space="preserve"> to this Agreement (the failure by Borrowers to so perform or cause to be performed such conditions subsequent as and when required by the terms thereof (unless such date is extended, in writing, by Agent, which Agent may do without obtaining the consent of the other members of the Lender Group), shall constitute an Event of Default).</w:t>
      </w:r>
    </w:p>
    <w:p>
      <w:pPr>
        <w:spacing w:after="0" w:line="183" w:lineRule="exact"/>
        <w:rPr>
          <w:sz w:val="20"/>
          <w:szCs w:val="20"/>
          <w:color w:val="auto"/>
        </w:rPr>
      </w:pPr>
    </w:p>
    <w:p>
      <w:pPr>
        <w:ind w:left="720" w:hanging="712"/>
        <w:spacing w:after="0"/>
        <w:tabs>
          <w:tab w:leader="none" w:pos="720" w:val="left"/>
        </w:tabs>
        <w:numPr>
          <w:ilvl w:val="0"/>
          <w:numId w:val="127"/>
        </w:numPr>
        <w:rPr>
          <w:rFonts w:ascii="Arial" w:cs="Arial" w:eastAsia="Arial" w:hAnsi="Arial"/>
          <w:sz w:val="18"/>
          <w:szCs w:val="18"/>
          <w:color w:val="010000"/>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In order to induce the Lender Group to enter into this Agreement, each of Parent and each Borrower makes the following representations and warranties to the Lender Group which shall be true, correct, and complete, in all material respects (except that such materiality qualifier shall not be applicable to any representations and warranties that already are qualified or modified by materiality in the text thereof), as of the Closing Date, and shall be true, correct, and complete, in all material respects (except that such materiality qualifier shall not be applicable to any representations and warranties that already are qualified or modified by materiality in the text thereof), as of the date of the making of each Revolving Loan (or other extension of credit) made thereafter, as though made on and as of the date of such Revolving Loan (or other extension of credit)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 such representations and warranties shall survive the execution and delivery of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ind w:left="660"/>
        <w:spacing w:after="0"/>
        <w:tabs>
          <w:tab w:leader="none" w:pos="1360" w:val="left"/>
        </w:tabs>
        <w:rPr>
          <w:sz w:val="20"/>
          <w:szCs w:val="20"/>
          <w:color w:val="auto"/>
        </w:rPr>
      </w:pPr>
      <w:r>
        <w:rPr>
          <w:rFonts w:ascii="Arial" w:cs="Arial" w:eastAsia="Arial" w:hAnsi="Arial"/>
          <w:sz w:val="18"/>
          <w:szCs w:val="18"/>
          <w:color w:val="010000"/>
        </w:rPr>
        <w:t>4.1</w:t>
      </w:r>
      <w:r>
        <w:rPr>
          <w:sz w:val="20"/>
          <w:szCs w:val="20"/>
          <w:color w:val="auto"/>
        </w:rPr>
        <w:tab/>
      </w:r>
      <w:r>
        <w:rPr>
          <w:rFonts w:ascii="Arial" w:cs="Arial" w:eastAsia="Arial" w:hAnsi="Arial"/>
          <w:sz w:val="16"/>
          <w:szCs w:val="16"/>
          <w:b w:val="1"/>
          <w:bCs w:val="1"/>
          <w:u w:val="single" w:color="auto"/>
          <w:color w:val="auto"/>
        </w:rPr>
        <w:t>Due Organization and Qualification; Subsidiaries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75" w:lineRule="auto"/>
        <w:tabs>
          <w:tab w:leader="none" w:pos="2296" w:val="left"/>
        </w:tabs>
        <w:numPr>
          <w:ilvl w:val="0"/>
          <w:numId w:val="128"/>
        </w:numPr>
        <w:rPr>
          <w:rFonts w:ascii="Arial" w:cs="Arial" w:eastAsia="Arial" w:hAnsi="Arial"/>
          <w:sz w:val="17"/>
          <w:szCs w:val="17"/>
          <w:color w:val="010000"/>
        </w:rPr>
      </w:pPr>
      <w:r>
        <w:rPr>
          <w:rFonts w:ascii="Arial" w:cs="Arial" w:eastAsia="Arial" w:hAnsi="Arial"/>
          <w:sz w:val="17"/>
          <w:szCs w:val="17"/>
          <w:color w:val="auto"/>
        </w:rPr>
        <w:t>Each Loan Party and each of its Subsidiaries (i) is duly organized or incorporated, as appropriate, and existing and in good standing under the laws of the jurisdiction of its organization or incorporation, as appropriate (to the extent that such concept exists in the relevant jurisdiction), (ii) is qualified to do business in any state where the failure to be so qualified could reasonably be expected to result in a Material Adverse Effect, and (iii) has all requisite power and authority to own and operate its properties, to carry on its business as now conducted and as proposed to be conducted, to enter into the Loan Documents to which it is a party and to carry out the transactions contemplated thereby.</w:t>
      </w:r>
    </w:p>
    <w:p>
      <w:pPr>
        <w:spacing w:after="0" w:line="176" w:lineRule="exact"/>
        <w:rPr>
          <w:rFonts w:ascii="Arial" w:cs="Arial" w:eastAsia="Arial" w:hAnsi="Arial"/>
          <w:sz w:val="17"/>
          <w:szCs w:val="17"/>
          <w:color w:val="010000"/>
        </w:rPr>
      </w:pPr>
    </w:p>
    <w:p>
      <w:pPr>
        <w:jc w:val="both"/>
        <w:ind w:firstLine="1304"/>
        <w:spacing w:after="0" w:line="257" w:lineRule="auto"/>
        <w:tabs>
          <w:tab w:leader="none" w:pos="2293"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4.1(b)</w:t>
      </w:r>
      <w:r>
        <w:rPr>
          <w:rFonts w:ascii="Arial" w:cs="Arial" w:eastAsia="Arial" w:hAnsi="Arial"/>
          <w:sz w:val="18"/>
          <w:szCs w:val="18"/>
          <w:color w:val="auto"/>
        </w:rPr>
        <w:t xml:space="preserve"> to this Agreement (as such Schedule may be updated from time to time in connection with the delivery of a Compliance Certificate to reflect changes resulting from transactions permitted under this Agreement) is a complete and accurate description of the authorized Equity Interests of each Loan Party, by class, as of the Closing Date and thereafter, as of the most recent date on which Borrowers provided the Compliance Certificate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and, as of the Closing Date, a description of the number of shares of each such class that are issued and outstanding.</w:t>
      </w:r>
    </w:p>
    <w:p>
      <w:pPr>
        <w:spacing w:after="0" w:line="187" w:lineRule="exact"/>
        <w:rPr>
          <w:rFonts w:ascii="Arial" w:cs="Arial" w:eastAsia="Arial" w:hAnsi="Arial"/>
          <w:sz w:val="18"/>
          <w:szCs w:val="18"/>
          <w:color w:val="010000"/>
        </w:rPr>
      </w:pPr>
    </w:p>
    <w:p>
      <w:pPr>
        <w:jc w:val="both"/>
        <w:ind w:firstLine="1304"/>
        <w:spacing w:after="0" w:line="293" w:lineRule="auto"/>
        <w:tabs>
          <w:tab w:leader="none" w:pos="2283" w:val="left"/>
        </w:tabs>
        <w:numPr>
          <w:ilvl w:val="0"/>
          <w:numId w:val="128"/>
        </w:numPr>
        <w:rPr>
          <w:rFonts w:ascii="Arial" w:cs="Arial" w:eastAsia="Arial" w:hAnsi="Arial"/>
          <w:sz w:val="16"/>
          <w:szCs w:val="16"/>
          <w:color w:val="010000"/>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4.1(c)</w:t>
      </w:r>
      <w:r>
        <w:rPr>
          <w:rFonts w:ascii="Arial" w:cs="Arial" w:eastAsia="Arial" w:hAnsi="Arial"/>
          <w:sz w:val="16"/>
          <w:szCs w:val="16"/>
          <w:color w:val="auto"/>
        </w:rPr>
        <w:t xml:space="preserve"> to this Agreement (as such Schedule may be updated from time to time in connection with the delivery of a Compliance Certificate to reflect changes resulting from transactions permitted under this Agreement), is a complete and accurate list of the Loan Parties’ direct and indirect Subsidiaries, as of the Closing Date and thereafter, as of the most recent date on which Borrowers provided the Compliance Certificate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showing: (i) the number of shares of each class of common and preferred Equity Interests authorized for each of such Subsidiaries, and (ii) the number and the percentage of the outstanding shares of each such class owned directly or indirectly by each Loan Party. All of the outstanding Equity Interests of each such Subsidiary has been validly issued and is fully paid and non-assessable.</w:t>
      </w:r>
    </w:p>
    <w:p>
      <w:pPr>
        <w:spacing w:after="0" w:line="164" w:lineRule="exact"/>
        <w:rPr>
          <w:rFonts w:ascii="Arial" w:cs="Arial" w:eastAsia="Arial" w:hAnsi="Arial"/>
          <w:sz w:val="16"/>
          <w:szCs w:val="16"/>
          <w:color w:val="010000"/>
        </w:rPr>
      </w:pPr>
    </w:p>
    <w:p>
      <w:pPr>
        <w:jc w:val="both"/>
        <w:ind w:firstLine="1304"/>
        <w:spacing w:after="0" w:line="293" w:lineRule="auto"/>
        <w:tabs>
          <w:tab w:leader="none" w:pos="2252" w:val="left"/>
        </w:tabs>
        <w:numPr>
          <w:ilvl w:val="0"/>
          <w:numId w:val="128"/>
        </w:numPr>
        <w:rPr>
          <w:rFonts w:ascii="Arial" w:cs="Arial" w:eastAsia="Arial" w:hAnsi="Arial"/>
          <w:sz w:val="16"/>
          <w:szCs w:val="16"/>
          <w:color w:val="010000"/>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4.1(d)</w:t>
      </w:r>
      <w:r>
        <w:rPr>
          <w:rFonts w:ascii="Arial" w:cs="Arial" w:eastAsia="Arial" w:hAnsi="Arial"/>
          <w:sz w:val="16"/>
          <w:szCs w:val="16"/>
          <w:color w:val="auto"/>
        </w:rPr>
        <w:t xml:space="preserve"> to this Agreement (as such Schedule may be updated from time to time in connection with the delivery of a Compliance Certificate to reflect changes resulting from transactions permitted under this Agreement), as of the Closing Date and thereafter, as of the most recent date on which Borrowers provided the Compliance Certificate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there are no subscriptions, options, warrants, or calls relating to any shares of any Loan Party’s or any of its Subsidiaries’ Equity Interests, including any right of conversion or exchange under any outstanding security or other instrument. No Loan Party is subject to any obligation (contingent or otherwise) to repurchase or otherwise acquire or retire any shares of its Equity Interests or any security convertible into or exchangeable for any of its Equity Interests.</w:t>
      </w:r>
    </w:p>
    <w:p>
      <w:pPr>
        <w:spacing w:after="0" w:line="16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4.2</w:t>
      </w:r>
      <w:r>
        <w:rPr>
          <w:sz w:val="20"/>
          <w:szCs w:val="20"/>
          <w:color w:val="auto"/>
        </w:rPr>
        <w:tab/>
      </w:r>
      <w:r>
        <w:rPr>
          <w:rFonts w:ascii="Arial" w:cs="Arial" w:eastAsia="Arial" w:hAnsi="Arial"/>
          <w:sz w:val="16"/>
          <w:szCs w:val="16"/>
          <w:b w:val="1"/>
          <w:bCs w:val="1"/>
          <w:u w:val="single" w:color="auto"/>
          <w:color w:val="auto"/>
        </w:rPr>
        <w:t>Due Authorization; No Conflict</w:t>
      </w:r>
      <w:r>
        <w:rPr>
          <w:rFonts w:ascii="Arial" w:cs="Arial" w:eastAsia="Arial" w:hAnsi="Arial"/>
          <w:sz w:val="16"/>
          <w:szCs w:val="16"/>
          <w:color w:val="auto"/>
        </w:rPr>
        <w:t>.</w:t>
      </w:r>
    </w:p>
    <w:p>
      <w:pPr>
        <w:spacing w:after="0" w:line="229" w:lineRule="exact"/>
        <w:rPr>
          <w:sz w:val="20"/>
          <w:szCs w:val="20"/>
          <w:color w:val="auto"/>
        </w:rPr>
      </w:pPr>
    </w:p>
    <w:p>
      <w:pPr>
        <w:ind w:right="20" w:firstLine="1304"/>
        <w:spacing w:after="0" w:line="277" w:lineRule="auto"/>
        <w:tabs>
          <w:tab w:leader="none" w:pos="2256" w:val="left"/>
        </w:tabs>
        <w:numPr>
          <w:ilvl w:val="0"/>
          <w:numId w:val="129"/>
        </w:numPr>
        <w:rPr>
          <w:rFonts w:ascii="Arial" w:cs="Arial" w:eastAsia="Arial" w:hAnsi="Arial"/>
          <w:sz w:val="18"/>
          <w:szCs w:val="18"/>
          <w:color w:val="010000"/>
        </w:rPr>
      </w:pPr>
      <w:r>
        <w:rPr>
          <w:rFonts w:ascii="Arial" w:cs="Arial" w:eastAsia="Arial" w:hAnsi="Arial"/>
          <w:sz w:val="18"/>
          <w:szCs w:val="18"/>
          <w:color w:val="auto"/>
        </w:rPr>
        <w:t>As to each Loan Party, the execution, delivery, and performance by such Loan Party of the Loan Documents to which it is a party have been duly authorized by all necessary action on the part of such Loan Party.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jc w:val="both"/>
        <w:ind w:firstLine="1304"/>
        <w:spacing w:after="0" w:line="269" w:lineRule="auto"/>
        <w:tabs>
          <w:tab w:leader="none" w:pos="2266" w:val="left"/>
        </w:tabs>
        <w:numPr>
          <w:ilvl w:val="0"/>
          <w:numId w:val="130"/>
        </w:numPr>
        <w:rPr>
          <w:rFonts w:ascii="Arial" w:cs="Arial" w:eastAsia="Arial" w:hAnsi="Arial"/>
          <w:sz w:val="17"/>
          <w:szCs w:val="17"/>
          <w:color w:val="010000"/>
        </w:rPr>
      </w:pPr>
      <w:r>
        <w:rPr>
          <w:rFonts w:ascii="Arial" w:cs="Arial" w:eastAsia="Arial" w:hAnsi="Arial"/>
          <w:sz w:val="17"/>
          <w:szCs w:val="17"/>
          <w:color w:val="auto"/>
        </w:rPr>
        <w:t>As to each Loan Party, the execution, delivery, and performance by such Loan Party of the Loan Documents to which it is a party do not and will not (i) violate any material provision of federal, state, or local law or regulation applicable to any Loan Party or its Subsidiaries, the Governing Documents of any Loan Party or its Subsidiaries, or any order, judgment, or decree of any court or other Governmental Authority binding on any Loan Party or its Subsidiaries, (ii) conflict with, result in a breach of, or constitute (with due notice or lapse of time or both) a default under any Material Contract of any Loan Party or its Subsidiaries where any such conflict, breach or default could individually or in the aggregate reasonably be expected to have a Material Adverse Effect, (iii) result in or require the creation or imposition of any Lien of any nature whatsoever upon any assets of any Loan Party, other than Permitted Liens, or (iv) require any approval of any holder of Equity Interests of a Loan Party or any approval or consent of any Person under any Material Contract of any Loan Party, other than consents or approvals that have been obtained and that are still in force and effect and except, in the case of Material Contracts, for consents or approvals, the failure to obtain could not individually or in the aggregate reasonably be expected to cause a Material Adverse Effect.</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010000"/>
        </w:rPr>
        <w:t xml:space="preserve">4.3 </w:t>
      </w:r>
      <w:r>
        <w:rPr>
          <w:rFonts w:ascii="Arial" w:cs="Arial" w:eastAsia="Arial" w:hAnsi="Arial"/>
          <w:sz w:val="18"/>
          <w:szCs w:val="18"/>
          <w:b w:val="1"/>
          <w:bCs w:val="1"/>
          <w:u w:val="single" w:color="auto"/>
          <w:color w:val="000000"/>
        </w:rPr>
        <w:t>Governmental Consents</w:t>
      </w:r>
      <w:r>
        <w:rPr>
          <w:rFonts w:ascii="Arial" w:cs="Arial" w:eastAsia="Arial" w:hAnsi="Arial"/>
          <w:sz w:val="18"/>
          <w:szCs w:val="18"/>
          <w:color w:val="000000"/>
        </w:rPr>
        <w:t>. The execution, delivery, and performance by each Loan Party of the Loan Documents to which such Loan</w:t>
      </w:r>
      <w:r>
        <w:rPr>
          <w:rFonts w:ascii="Arial" w:cs="Arial" w:eastAsia="Arial" w:hAnsi="Arial"/>
          <w:sz w:val="18"/>
          <w:szCs w:val="18"/>
          <w:color w:val="010000"/>
        </w:rPr>
        <w:t xml:space="preserve"> </w:t>
      </w:r>
      <w:r>
        <w:rPr>
          <w:rFonts w:ascii="Arial" w:cs="Arial" w:eastAsia="Arial" w:hAnsi="Arial"/>
          <w:sz w:val="18"/>
          <w:szCs w:val="18"/>
          <w:color w:val="000000"/>
        </w:rPr>
        <w:t>Party is a party and the consummation of the transactions contemplated by the Loan Documents do not and will not require any registration with, consent, or approval of, or notice to, or other action with or by, any Governmental Authority, other than registrations, consents, approvals, notices, or other actions that have been obtained and that are still in force and effect and except for filings and recordings with respect to the Collateral to be made, or otherwise delivered to Agent for filing or recordation, as of the Closing Date.</w:t>
      </w:r>
    </w:p>
    <w:p>
      <w:pPr>
        <w:spacing w:after="0" w:line="18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4.4</w:t>
      </w:r>
      <w:r>
        <w:rPr>
          <w:sz w:val="20"/>
          <w:szCs w:val="20"/>
          <w:color w:val="auto"/>
        </w:rPr>
        <w:tab/>
      </w:r>
      <w:r>
        <w:rPr>
          <w:rFonts w:ascii="Arial" w:cs="Arial" w:eastAsia="Arial" w:hAnsi="Arial"/>
          <w:sz w:val="16"/>
          <w:szCs w:val="16"/>
          <w:b w:val="1"/>
          <w:bCs w:val="1"/>
          <w:u w:val="single" w:color="auto"/>
          <w:color w:val="auto"/>
        </w:rPr>
        <w:t>Binding Obligations; Perfected Liens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59" w:lineRule="auto"/>
        <w:tabs>
          <w:tab w:leader="none" w:pos="2229" w:val="left"/>
        </w:tabs>
        <w:numPr>
          <w:ilvl w:val="1"/>
          <w:numId w:val="131"/>
        </w:numPr>
        <w:rPr>
          <w:rFonts w:ascii="Arial" w:cs="Arial" w:eastAsia="Arial" w:hAnsi="Arial"/>
          <w:sz w:val="18"/>
          <w:szCs w:val="18"/>
          <w:color w:val="010000"/>
        </w:rPr>
      </w:pPr>
      <w:r>
        <w:rPr>
          <w:rFonts w:ascii="Arial" w:cs="Arial" w:eastAsia="Arial" w:hAnsi="Arial"/>
          <w:sz w:val="18"/>
          <w:szCs w:val="18"/>
          <w:color w:val="auto"/>
        </w:rPr>
        <w:t>Each Loan Document has been duly executed and delivered by each Loan Party that is a party thereto and is the legally valid and binding obligation of such Loan Party, enforceable against such Loan Party in accordance with its respective terms, except as enforcement may be limited by equitable principles or by bankruptcy, insolvency, examinership, reorganization, moratorium, or similar laws relating to or limiting creditors’ rights generally.</w:t>
      </w:r>
    </w:p>
    <w:p>
      <w:pPr>
        <w:spacing w:after="0" w:line="186" w:lineRule="exact"/>
        <w:rPr>
          <w:rFonts w:ascii="Arial" w:cs="Arial" w:eastAsia="Arial" w:hAnsi="Arial"/>
          <w:sz w:val="18"/>
          <w:szCs w:val="18"/>
          <w:color w:val="010000"/>
        </w:rPr>
      </w:pPr>
    </w:p>
    <w:p>
      <w:pPr>
        <w:ind w:left="2200" w:hanging="896"/>
        <w:spacing w:after="0"/>
        <w:tabs>
          <w:tab w:leader="none" w:pos="2200" w:val="left"/>
        </w:tabs>
        <w:numPr>
          <w:ilvl w:val="1"/>
          <w:numId w:val="131"/>
        </w:numPr>
        <w:rPr>
          <w:rFonts w:ascii="Arial" w:cs="Arial" w:eastAsia="Arial" w:hAnsi="Arial"/>
          <w:sz w:val="16"/>
          <w:szCs w:val="16"/>
          <w:color w:val="010000"/>
        </w:rPr>
      </w:pPr>
      <w:r>
        <w:rPr>
          <w:rFonts w:ascii="Arial" w:cs="Arial" w:eastAsia="Arial" w:hAnsi="Arial"/>
          <w:sz w:val="16"/>
          <w:szCs w:val="16"/>
          <w:color w:val="auto"/>
        </w:rPr>
        <w:t>Agent’s Liens are validly created, perfected (other than (i) in respect of motor vehicles that are subject to a certificate of title,</w:t>
      </w:r>
    </w:p>
    <w:p>
      <w:pPr>
        <w:spacing w:after="0" w:line="46" w:lineRule="exact"/>
        <w:rPr>
          <w:rFonts w:ascii="Arial" w:cs="Arial" w:eastAsia="Arial" w:hAnsi="Arial"/>
          <w:sz w:val="16"/>
          <w:szCs w:val="16"/>
          <w:color w:val="010000"/>
        </w:rPr>
      </w:pPr>
    </w:p>
    <w:p>
      <w:pPr>
        <w:jc w:val="both"/>
        <w:ind w:firstLine="8"/>
        <w:spacing w:after="0" w:line="270" w:lineRule="auto"/>
        <w:tabs>
          <w:tab w:leader="none" w:pos="27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money, (iii) letter-of-credit rights (other than supporting obligations), (iv) commercial tort claims (other than those that, by the terms of the Guaranty and Security Agreement, are required to be perfected), and (v) any Deposit Accounts and Securities Accounts not subject to a Control Agreement as permitted by </w:t>
      </w:r>
      <w:r>
        <w:rPr>
          <w:rFonts w:ascii="Arial" w:cs="Arial" w:eastAsia="Arial" w:hAnsi="Arial"/>
          <w:sz w:val="17"/>
          <w:szCs w:val="17"/>
          <w:u w:val="single" w:color="auto"/>
          <w:color w:val="auto"/>
        </w:rPr>
        <w:t>Section 7(k)(iv)</w:t>
      </w:r>
      <w:r>
        <w:rPr>
          <w:rFonts w:ascii="Arial" w:cs="Arial" w:eastAsia="Arial" w:hAnsi="Arial"/>
          <w:sz w:val="17"/>
          <w:szCs w:val="17"/>
          <w:color w:val="auto"/>
        </w:rPr>
        <w:t xml:space="preserve"> of the Guaranty and Security Agreement, and subject only to the filing of financing statements, the recordation of any Copyright Security Agreement, and the recordation of the Mortgages, in each case, in the appropriate filing offices and, with respect to Whole Aircraft and Whole Engines, satisfaction of the Perfection Requirements or Limited Perfection Requirements, as applicable, pursuant to the Guaranty and Security Agreement), and first priority Liens, subject only to Specified Permitted Liens.</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010000"/>
        </w:rPr>
        <w:t xml:space="preserve">4.5 </w:t>
      </w:r>
      <w:r>
        <w:rPr>
          <w:rFonts w:ascii="Arial" w:cs="Arial" w:eastAsia="Arial" w:hAnsi="Arial"/>
          <w:sz w:val="18"/>
          <w:szCs w:val="18"/>
          <w:b w:val="1"/>
          <w:bCs w:val="1"/>
          <w:u w:val="single" w:color="auto"/>
          <w:color w:val="000000"/>
        </w:rPr>
        <w:t>Title to Assets; No Encumbrances</w:t>
      </w:r>
      <w:r>
        <w:rPr>
          <w:rFonts w:ascii="Arial" w:cs="Arial" w:eastAsia="Arial" w:hAnsi="Arial"/>
          <w:sz w:val="18"/>
          <w:szCs w:val="18"/>
          <w:color w:val="000000"/>
        </w:rPr>
        <w:t>. Each of the Loan Parties and its Subsidiaries has (a) good, sufficient and legal title to (in the case</w:t>
      </w:r>
      <w:r>
        <w:rPr>
          <w:rFonts w:ascii="Arial" w:cs="Arial" w:eastAsia="Arial" w:hAnsi="Arial"/>
          <w:sz w:val="18"/>
          <w:szCs w:val="18"/>
          <w:color w:val="010000"/>
        </w:rPr>
        <w:t xml:space="preserve"> </w:t>
      </w:r>
      <w:r>
        <w:rPr>
          <w:rFonts w:ascii="Arial" w:cs="Arial" w:eastAsia="Arial" w:hAnsi="Arial"/>
          <w:sz w:val="18"/>
          <w:szCs w:val="18"/>
          <w:color w:val="000000"/>
        </w:rPr>
        <w:t xml:space="preserve">of fee interests in Real Property), (b) valid leasehold interests in (in the case of leasehold interests in real or personal property), and (c) good and marketable title to (in the case of all other personal property), all of their respective assets reflected in their most recent financial statements delivered pursuant to </w:t>
      </w:r>
      <w:r>
        <w:rPr>
          <w:rFonts w:ascii="Arial" w:cs="Arial" w:eastAsia="Arial" w:hAnsi="Arial"/>
          <w:sz w:val="18"/>
          <w:szCs w:val="18"/>
          <w:u w:val="single" w:color="auto"/>
          <w:color w:val="000000"/>
        </w:rPr>
        <w:t>Section 5.1</w:t>
      </w:r>
      <w:r>
        <w:rPr>
          <w:rFonts w:ascii="Arial" w:cs="Arial" w:eastAsia="Arial" w:hAnsi="Arial"/>
          <w:sz w:val="18"/>
          <w:szCs w:val="18"/>
          <w:color w:val="000000"/>
        </w:rPr>
        <w:t>, in each case except for assets disposed of since the date of such financial statements to the extent permitted hereby. All of such assets are free and clear of Liens except for (i) in the case of Eligible Whole Aircraft Collateral and Eligible Whole Engine Collateral, Specified Permitted Liens, and (ii) otherwise, Permitted Liens.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both"/>
        <w:ind w:firstLine="648"/>
        <w:spacing w:after="0" w:line="266" w:lineRule="auto"/>
        <w:rPr>
          <w:sz w:val="20"/>
          <w:szCs w:val="20"/>
          <w:color w:val="auto"/>
        </w:rPr>
      </w:pPr>
      <w:r>
        <w:rPr>
          <w:rFonts w:ascii="Arial" w:cs="Arial" w:eastAsia="Arial" w:hAnsi="Arial"/>
          <w:sz w:val="18"/>
          <w:szCs w:val="18"/>
          <w:color w:val="010000"/>
        </w:rPr>
        <w:t xml:space="preserve">4.6 </w:t>
      </w:r>
      <w:r>
        <w:rPr>
          <w:rFonts w:ascii="Arial" w:cs="Arial" w:eastAsia="Arial" w:hAnsi="Arial"/>
          <w:sz w:val="18"/>
          <w:szCs w:val="18"/>
          <w:b w:val="1"/>
          <w:bCs w:val="1"/>
          <w:u w:val="single" w:color="auto"/>
          <w:color w:val="000000"/>
        </w:rPr>
        <w:t>Litigation</w:t>
      </w:r>
      <w:r>
        <w:rPr>
          <w:rFonts w:ascii="Arial" w:cs="Arial" w:eastAsia="Arial" w:hAnsi="Arial"/>
          <w:sz w:val="18"/>
          <w:szCs w:val="18"/>
          <w:color w:val="000000"/>
        </w:rPr>
        <w:t>. Except as set forth on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4.6(b)</w:t>
      </w:r>
      <w:r>
        <w:rPr>
          <w:rFonts w:ascii="Arial" w:cs="Arial" w:eastAsia="Arial" w:hAnsi="Arial"/>
          <w:sz w:val="18"/>
          <w:szCs w:val="18"/>
          <w:color w:val="010000"/>
        </w:rPr>
        <w:t xml:space="preserve"> </w:t>
      </w:r>
      <w:r>
        <w:rPr>
          <w:rFonts w:ascii="Arial" w:cs="Arial" w:eastAsia="Arial" w:hAnsi="Arial"/>
          <w:sz w:val="18"/>
          <w:szCs w:val="18"/>
          <w:color w:val="000000"/>
        </w:rPr>
        <w:t>to this Agreement, there are no actions, suits, or proceedings pending or, to the</w:t>
      </w:r>
      <w:r>
        <w:rPr>
          <w:rFonts w:ascii="Arial" w:cs="Arial" w:eastAsia="Arial" w:hAnsi="Arial"/>
          <w:sz w:val="18"/>
          <w:szCs w:val="18"/>
          <w:color w:val="010000"/>
        </w:rPr>
        <w:t xml:space="preserve"> </w:t>
      </w:r>
      <w:r>
        <w:rPr>
          <w:rFonts w:ascii="Arial" w:cs="Arial" w:eastAsia="Arial" w:hAnsi="Arial"/>
          <w:sz w:val="18"/>
          <w:szCs w:val="18"/>
          <w:color w:val="000000"/>
        </w:rPr>
        <w:t>knowledge of any Borrower, after due inquiry, threatened in writing against a Loan Party or any of its Subsidiaries that either individually or in the aggregate could reasonably be expected to result in a Material Adverse Effect.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010000"/>
        </w:rPr>
        <w:t xml:space="preserve">4.7 </w:t>
      </w:r>
      <w:r>
        <w:rPr>
          <w:rFonts w:ascii="Arial" w:cs="Arial" w:eastAsia="Arial" w:hAnsi="Arial"/>
          <w:sz w:val="18"/>
          <w:szCs w:val="18"/>
          <w:b w:val="1"/>
          <w:bCs w:val="1"/>
          <w:u w:val="single" w:color="auto"/>
          <w:color w:val="000000"/>
        </w:rPr>
        <w:t>Compliance with Laws</w:t>
      </w:r>
      <w:r>
        <w:rPr>
          <w:rFonts w:ascii="Arial" w:cs="Arial" w:eastAsia="Arial" w:hAnsi="Arial"/>
          <w:sz w:val="18"/>
          <w:szCs w:val="18"/>
          <w:color w:val="000000"/>
        </w:rPr>
        <w:t>. No Loan Party nor any of its Subsidiaries (a) is in violation of any applicable laws, rules, regulations,</w:t>
      </w:r>
      <w:r>
        <w:rPr>
          <w:rFonts w:ascii="Arial" w:cs="Arial" w:eastAsia="Arial" w:hAnsi="Arial"/>
          <w:sz w:val="18"/>
          <w:szCs w:val="18"/>
          <w:color w:val="010000"/>
        </w:rPr>
        <w:t xml:space="preserve"> </w:t>
      </w:r>
      <w:r>
        <w:rPr>
          <w:rFonts w:ascii="Arial" w:cs="Arial" w:eastAsia="Arial" w:hAnsi="Arial"/>
          <w:sz w:val="18"/>
          <w:szCs w:val="18"/>
          <w:color w:val="000000"/>
        </w:rPr>
        <w:t>executive orders, or codes (including Environmental Laws) that, individually or in the aggregate, could reasonably be expected to result in a Material Adverse Effect, or (b)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Effect.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010000"/>
        </w:rPr>
        <w:t xml:space="preserve">4.8 </w:t>
      </w:r>
      <w:r>
        <w:rPr>
          <w:rFonts w:ascii="Arial" w:cs="Arial" w:eastAsia="Arial" w:hAnsi="Arial"/>
          <w:sz w:val="18"/>
          <w:szCs w:val="18"/>
          <w:b w:val="1"/>
          <w:bCs w:val="1"/>
          <w:u w:val="single" w:color="auto"/>
          <w:color w:val="000000"/>
        </w:rPr>
        <w:t>No Material Adverse Effect</w:t>
      </w:r>
      <w:r>
        <w:rPr>
          <w:rFonts w:ascii="Arial" w:cs="Arial" w:eastAsia="Arial" w:hAnsi="Arial"/>
          <w:sz w:val="18"/>
          <w:szCs w:val="18"/>
          <w:color w:val="000000"/>
        </w:rPr>
        <w:t>. All historical financial statements relating to the Loan Parties and their Subsidiaries that have been</w:t>
      </w:r>
      <w:r>
        <w:rPr>
          <w:rFonts w:ascii="Arial" w:cs="Arial" w:eastAsia="Arial" w:hAnsi="Arial"/>
          <w:sz w:val="18"/>
          <w:szCs w:val="18"/>
          <w:color w:val="010000"/>
        </w:rPr>
        <w:t xml:space="preserve"> </w:t>
      </w:r>
      <w:r>
        <w:rPr>
          <w:rFonts w:ascii="Arial" w:cs="Arial" w:eastAsia="Arial" w:hAnsi="Arial"/>
          <w:sz w:val="18"/>
          <w:szCs w:val="18"/>
          <w:color w:val="000000"/>
        </w:rPr>
        <w:t>delivered by Borrowers to Agent have been prepared in accordance with GAAP (except, in the case of unaudited financial statements, for the lack of footnotes and being subject to year-end audit adjustments) and present fairly in all material respects, the Loan Parties’ and their Subsidiaries’ consolidated financial condition as of the date thereof and results of operations for the period then ended. Since December 31, 2017, no event, circumstance, or change has occurred that has or could reasonably be expected to result in a Material Adverse Effect.</w:t>
      </w:r>
    </w:p>
    <w:p>
      <w:pPr>
        <w:spacing w:after="0" w:line="18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4.9</w:t>
      </w:r>
      <w:r>
        <w:rPr>
          <w:sz w:val="20"/>
          <w:szCs w:val="20"/>
          <w:color w:val="auto"/>
        </w:rPr>
        <w:tab/>
      </w:r>
      <w:r>
        <w:rPr>
          <w:rFonts w:ascii="Arial" w:cs="Arial" w:eastAsia="Arial" w:hAnsi="Arial"/>
          <w:sz w:val="15"/>
          <w:szCs w:val="15"/>
          <w:b w:val="1"/>
          <w:bCs w:val="1"/>
          <w:u w:val="single" w:color="auto"/>
          <w:color w:val="auto"/>
        </w:rPr>
        <w:t>Solvency</w:t>
      </w:r>
      <w:r>
        <w:rPr>
          <w:rFonts w:ascii="Arial" w:cs="Arial" w:eastAsia="Arial" w:hAnsi="Arial"/>
          <w:sz w:val="15"/>
          <w:szCs w:val="15"/>
          <w:color w:val="auto"/>
        </w:rPr>
        <w:t>.</w:t>
      </w:r>
    </w:p>
    <w:p>
      <w:pPr>
        <w:spacing w:after="0" w:line="229" w:lineRule="exact"/>
        <w:rPr>
          <w:sz w:val="20"/>
          <w:szCs w:val="20"/>
          <w:color w:val="auto"/>
        </w:rPr>
      </w:pPr>
    </w:p>
    <w:p>
      <w:pPr>
        <w:ind w:left="2220" w:hanging="916"/>
        <w:spacing w:after="0"/>
        <w:tabs>
          <w:tab w:leader="none" w:pos="2220" w:val="left"/>
        </w:tabs>
        <w:numPr>
          <w:ilvl w:val="0"/>
          <w:numId w:val="133"/>
        </w:numPr>
        <w:rPr>
          <w:rFonts w:ascii="Arial" w:cs="Arial" w:eastAsia="Arial" w:hAnsi="Arial"/>
          <w:sz w:val="18"/>
          <w:szCs w:val="18"/>
          <w:color w:val="010000"/>
        </w:rPr>
      </w:pPr>
      <w:r>
        <w:rPr>
          <w:rFonts w:ascii="Arial" w:cs="Arial" w:eastAsia="Arial" w:hAnsi="Arial"/>
          <w:sz w:val="18"/>
          <w:szCs w:val="18"/>
          <w:color w:val="auto"/>
        </w:rPr>
        <w:t>Each Loan Party is Solvent.</w:t>
      </w:r>
    </w:p>
    <w:p>
      <w:pPr>
        <w:spacing w:after="0" w:line="225" w:lineRule="exact"/>
        <w:rPr>
          <w:rFonts w:ascii="Arial" w:cs="Arial" w:eastAsia="Arial" w:hAnsi="Arial"/>
          <w:sz w:val="18"/>
          <w:szCs w:val="18"/>
          <w:color w:val="010000"/>
        </w:rPr>
      </w:pPr>
    </w:p>
    <w:p>
      <w:pPr>
        <w:jc w:val="both"/>
        <w:ind w:firstLine="1304"/>
        <w:spacing w:after="0" w:line="263" w:lineRule="auto"/>
        <w:tabs>
          <w:tab w:leader="none" w:pos="2576" w:val="left"/>
        </w:tabs>
        <w:numPr>
          <w:ilvl w:val="0"/>
          <w:numId w:val="133"/>
        </w:numPr>
        <w:rPr>
          <w:rFonts w:ascii="Arial" w:cs="Arial" w:eastAsia="Arial" w:hAnsi="Arial"/>
          <w:sz w:val="18"/>
          <w:szCs w:val="18"/>
          <w:color w:val="010000"/>
        </w:rPr>
      </w:pPr>
      <w:r>
        <w:rPr>
          <w:rFonts w:ascii="Arial" w:cs="Arial" w:eastAsia="Arial" w:hAnsi="Arial"/>
          <w:sz w:val="18"/>
          <w:szCs w:val="18"/>
          <w:color w:val="auto"/>
        </w:rPr>
        <w:t>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8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4.10</w:t>
      </w:r>
      <w:r>
        <w:rPr>
          <w:sz w:val="20"/>
          <w:szCs w:val="20"/>
          <w:color w:val="auto"/>
        </w:rPr>
        <w:tab/>
      </w:r>
      <w:r>
        <w:rPr>
          <w:rFonts w:ascii="Arial" w:cs="Arial" w:eastAsia="Arial" w:hAnsi="Arial"/>
          <w:sz w:val="15"/>
          <w:szCs w:val="15"/>
          <w:b w:val="1"/>
          <w:bCs w:val="1"/>
          <w:u w:val="single" w:color="auto"/>
          <w:color w:val="auto"/>
        </w:rPr>
        <w:t>Employee Benefits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69" w:lineRule="auto"/>
        <w:tabs>
          <w:tab w:leader="none" w:pos="2377"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Schedule 4.10</w:t>
      </w:r>
      <w:r>
        <w:rPr>
          <w:rFonts w:ascii="Arial" w:cs="Arial" w:eastAsia="Arial" w:hAnsi="Arial"/>
          <w:sz w:val="17"/>
          <w:szCs w:val="17"/>
          <w:color w:val="auto"/>
        </w:rPr>
        <w:t xml:space="preserve"> to this Agreement lists as of the Closing Date, all Plans sponsored or maintained by any Borrower and all Plans sponsored or maintained by an ERISA Affiliate the operating of which could lead to a liability of any Borrower which could reasonably be expected to have a Material Adverse Effect. Copies of all such Title IV Plans; together with a copy of the latest form IRS/DOL 5500-series for each such Title IV Plan have been made available to Agent. Each Qualified Plan has been determined by the IRS to qualify under Section 401 of the IRC (or has been adapted using a prototype plan document that has been approved by the IRS), the trusts created thereunder have been determined to be exempt from tax under the provisions of Section 501 of the IRC, and, to each Borrower’s knowledge, nothing has occurred that would cause the loss of such qualification or tax-exempt status. Each Plan is in compliance with the applicable provisions of ERISA and the IRC, except to the extent any such non-compliance could not reasonably be expected to have a Material Adverse Effect. No Borrower or ERISA Affiliate has failed to make any contribution or pay any amount due as required by either Section 412 of the IRC or Section 302 of ERISA or the terms of any such Plan, except to the extent any such failure could not reasonably be expected to have a Material Adverse Effect. No Borrower has engaged in, or assumed any liability in connection with, a non-exempt “</w:t>
      </w:r>
      <w:r>
        <w:rPr>
          <w:rFonts w:ascii="Arial" w:cs="Arial" w:eastAsia="Arial" w:hAnsi="Arial"/>
          <w:sz w:val="17"/>
          <w:szCs w:val="17"/>
          <w:u w:val="single" w:color="auto"/>
          <w:color w:val="auto"/>
        </w:rPr>
        <w:t>prohibited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transaction,</w:t>
      </w:r>
      <w:r>
        <w:rPr>
          <w:rFonts w:ascii="Arial" w:cs="Arial" w:eastAsia="Arial" w:hAnsi="Arial"/>
          <w:sz w:val="17"/>
          <w:szCs w:val="17"/>
          <w:color w:val="auto"/>
        </w:rPr>
        <w:t>” as defined in Section 406 of ERISA and Section 4975 of the IRC, in connection with any Plan, that could reasonably be expected to have a Material Adverse Effect.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both"/>
        <w:ind w:firstLine="1304"/>
        <w:spacing w:after="0" w:line="273" w:lineRule="auto"/>
        <w:tabs>
          <w:tab w:leader="none" w:pos="234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4.10</w:t>
      </w:r>
      <w:r>
        <w:rPr>
          <w:rFonts w:ascii="Arial" w:cs="Arial" w:eastAsia="Arial" w:hAnsi="Arial"/>
          <w:sz w:val="17"/>
          <w:szCs w:val="17"/>
          <w:color w:val="auto"/>
        </w:rPr>
        <w:t xml:space="preserve"> to this Agreement and except as could not reasonably be expected to have a Material Adverse Effect: (i) no Title IV Plan has any material Unfunded Pension Liability; (ii) no ERISA Event or event described in Section 4062(e) of ERISA with respect to any Title IV Plan has occurred or is reasonably expected to occur; (iii) there are no pending, or to the knowledge of any Borrower, threatened material claims (other than claims for benefits due in the normal course), sanctions, actions or lawsuits, asserted or instituted against any Plan or any Person as fiduciary or sponsor of any Plan and (iv) within the last five (5) years no Title IV Plan of any Borrower or ERISA Affiliate has been terminated, other than in a “</w:t>
      </w:r>
      <w:r>
        <w:rPr>
          <w:rFonts w:ascii="Arial" w:cs="Arial" w:eastAsia="Arial" w:hAnsi="Arial"/>
          <w:sz w:val="17"/>
          <w:szCs w:val="17"/>
          <w:u w:val="single" w:color="auto"/>
          <w:color w:val="auto"/>
        </w:rPr>
        <w:t>standard termination</w:t>
      </w:r>
      <w:r>
        <w:rPr>
          <w:rFonts w:ascii="Arial" w:cs="Arial" w:eastAsia="Arial" w:hAnsi="Arial"/>
          <w:sz w:val="17"/>
          <w:szCs w:val="17"/>
          <w:color w:val="auto"/>
        </w:rPr>
        <w:t>” as that term is used in Section 4041 of ERISA.</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 xml:space="preserve">4.11 </w:t>
      </w:r>
      <w:r>
        <w:rPr>
          <w:rFonts w:ascii="Arial" w:cs="Arial" w:eastAsia="Arial" w:hAnsi="Arial"/>
          <w:sz w:val="18"/>
          <w:szCs w:val="18"/>
          <w:b w:val="1"/>
          <w:bCs w:val="1"/>
          <w:u w:val="single" w:color="auto"/>
          <w:color w:val="000000"/>
        </w:rPr>
        <w:t>Environmental Condition</w:t>
      </w:r>
      <w:r>
        <w:rPr>
          <w:rFonts w:ascii="Arial" w:cs="Arial" w:eastAsia="Arial" w:hAnsi="Arial"/>
          <w:sz w:val="18"/>
          <w:szCs w:val="18"/>
          <w:color w:val="000000"/>
        </w:rPr>
        <w:t>. Except as set forth on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4.11</w:t>
      </w:r>
      <w:r>
        <w:rPr>
          <w:rFonts w:ascii="Arial" w:cs="Arial" w:eastAsia="Arial" w:hAnsi="Arial"/>
          <w:sz w:val="18"/>
          <w:szCs w:val="18"/>
          <w:color w:val="010000"/>
        </w:rPr>
        <w:t xml:space="preserve"> </w:t>
      </w:r>
      <w:r>
        <w:rPr>
          <w:rFonts w:ascii="Arial" w:cs="Arial" w:eastAsia="Arial" w:hAnsi="Arial"/>
          <w:sz w:val="18"/>
          <w:szCs w:val="18"/>
          <w:color w:val="000000"/>
        </w:rPr>
        <w:t>to this Agreement and except as could not reasonably be expected to</w:t>
      </w:r>
      <w:r>
        <w:rPr>
          <w:rFonts w:ascii="Arial" w:cs="Arial" w:eastAsia="Arial" w:hAnsi="Arial"/>
          <w:sz w:val="18"/>
          <w:szCs w:val="18"/>
          <w:color w:val="010000"/>
        </w:rPr>
        <w:t xml:space="preserve"> </w:t>
      </w:r>
      <w:r>
        <w:rPr>
          <w:rFonts w:ascii="Arial" w:cs="Arial" w:eastAsia="Arial" w:hAnsi="Arial"/>
          <w:sz w:val="18"/>
          <w:szCs w:val="18"/>
          <w:color w:val="000000"/>
        </w:rPr>
        <w:t>result in a Material Adverse Effect, (a) to each Borrower’s knowledge, no Loan Party’s nor any of its Subsidiaries’ properties or assets has ever been used by a Loan Party, its Subsidiaries, or by previous owners or operators in the disposal of, or to produce, store, handle, treat, release, or transport, any Hazardous Materials, where such disposal, production, storage, handling, treatment, release or transport was in violation, in any material respect, of any applicable Environmental Law, (b) to each Borrower’s knowledge, after due inquiry, no Loan Party’s nor any of its Subsidiaries’ properties or assets has ever been designated or identified in any manner pursuant to any environmental protection statute as a Hazardous Materials disposal site, (c) no Loan Party nor any of its Subsidiaries has received notice that a Lien arising under any Environmental Law has attached to any revenues or to any Real Property owned or operated by a Loan Party or its Subsidiaries, and (d) no Loan Party nor any of its Subsidiaries nor any of their respective facilities or operations is subject to any outstanding written order, consent decree, or settlement agreement with any Person relating to any Environmental Law or Environmental Liability.</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010000"/>
        </w:rPr>
        <w:t xml:space="preserve">4.12 </w:t>
      </w:r>
      <w:r>
        <w:rPr>
          <w:rFonts w:ascii="Arial" w:cs="Arial" w:eastAsia="Arial" w:hAnsi="Arial"/>
          <w:sz w:val="17"/>
          <w:szCs w:val="17"/>
          <w:b w:val="1"/>
          <w:bCs w:val="1"/>
          <w:u w:val="single" w:color="auto"/>
          <w:color w:val="000000"/>
        </w:rPr>
        <w:t>Complete Disclosure</w:t>
      </w:r>
      <w:r>
        <w:rPr>
          <w:rFonts w:ascii="Arial" w:cs="Arial" w:eastAsia="Arial" w:hAnsi="Arial"/>
          <w:sz w:val="17"/>
          <w:szCs w:val="17"/>
          <w:color w:val="000000"/>
        </w:rPr>
        <w:t>. All factual information taken as a whole (other than forward-looking information and projections and</w:t>
      </w:r>
      <w:r>
        <w:rPr>
          <w:rFonts w:ascii="Arial" w:cs="Arial" w:eastAsia="Arial" w:hAnsi="Arial"/>
          <w:sz w:val="17"/>
          <w:szCs w:val="17"/>
          <w:color w:val="010000"/>
        </w:rPr>
        <w:t xml:space="preserve"> </w:t>
      </w:r>
      <w:r>
        <w:rPr>
          <w:rFonts w:ascii="Arial" w:cs="Arial" w:eastAsia="Arial" w:hAnsi="Arial"/>
          <w:sz w:val="17"/>
          <w:szCs w:val="17"/>
          <w:color w:val="000000"/>
        </w:rPr>
        <w:t>information of a general economic nature and general information about the industry of any Loan Party or its Subsidiaries) furnished by or on behalf of a Loan Party or its Subsidiaries in writing to Agent or any Lender (including all information contained in the Schedules hereto or in the other Loan Documents) for purposes of or in connection with this Agreement or the other Loan Documents, and all other such factual information taken as a whole (other than forward-looking information and projections and information of a general economic nature and general information about the industry of any Loan Party or its Subsidiaries) hereafter furnished by or on behalf of a Loan Party or its Subsidiaries in writing to Agent or any Lender will be, true and accurate, in all material respects, on the date as of which such information is dated or certified and not incomplete by omitting to state any fact necessary to make such information (taken as a whole) not misleading in any material respect at such time in light of the circumstances under which such information was provided. The Projections delivered to Agent on May 21, 2018 represent, and as of the date on which any other Projections are delivered to Agent, such additional Projections represent, Borrowers’ good faith estimate, on the date such Projections are delivered, of the Loan Parties’ and their Subsidiaries’ future performance for the periods covered thereby based upon assumptions believed by Borrowers to be reasonable at the time of the delivery thereof to Agent (it being understood that such Projections are subject to significant uncertainties and contingencies, many of which are beyond the control of the Loan Parties and their Subsidiaries, and no assurances can be given that such Projections will be realized, and although reflecting Borrowers’ good faith estimate, projections or forecasts based on methods and assumptions which Borrowers believed to be reasonable at the time such Projections were prepared, are not to be viewed as facts, and that actual results during the period or periods covered by the Projections may differ materially from projected or estimated results).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010000"/>
        </w:rPr>
        <w:t xml:space="preserve">4.13 </w:t>
      </w:r>
      <w:r>
        <w:rPr>
          <w:rFonts w:ascii="Arial" w:cs="Arial" w:eastAsia="Arial" w:hAnsi="Arial"/>
          <w:sz w:val="18"/>
          <w:szCs w:val="18"/>
          <w:b w:val="1"/>
          <w:bCs w:val="1"/>
          <w:u w:val="single" w:color="auto"/>
          <w:color w:val="000000"/>
        </w:rPr>
        <w:t>Patriot Act</w:t>
      </w:r>
      <w:r>
        <w:rPr>
          <w:rFonts w:ascii="Arial" w:cs="Arial" w:eastAsia="Arial" w:hAnsi="Arial"/>
          <w:sz w:val="18"/>
          <w:szCs w:val="18"/>
          <w:color w:val="000000"/>
        </w:rPr>
        <w:t>. To the extent applicable, each Loan Party is in compliance, in all material respects, with the (a) Trading with the Enemy</w:t>
      </w:r>
      <w:r>
        <w:rPr>
          <w:rFonts w:ascii="Arial" w:cs="Arial" w:eastAsia="Arial" w:hAnsi="Arial"/>
          <w:sz w:val="18"/>
          <w:szCs w:val="18"/>
          <w:color w:val="010000"/>
        </w:rPr>
        <w:t xml:space="preserve"> </w:t>
      </w:r>
      <w:r>
        <w:rPr>
          <w:rFonts w:ascii="Arial" w:cs="Arial" w:eastAsia="Arial" w:hAnsi="Arial"/>
          <w:sz w:val="18"/>
          <w:szCs w:val="18"/>
          <w:color w:val="000000"/>
        </w:rPr>
        <w:t>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as amended) (the “</w:t>
      </w:r>
      <w:r>
        <w:rPr>
          <w:rFonts w:ascii="Arial" w:cs="Arial" w:eastAsia="Arial" w:hAnsi="Arial"/>
          <w:sz w:val="18"/>
          <w:szCs w:val="18"/>
          <w:u w:val="single" w:color="auto"/>
          <w:color w:val="000000"/>
        </w:rPr>
        <w:t>Patriot Act</w:t>
      </w:r>
      <w:r>
        <w:rPr>
          <w:rFonts w:ascii="Arial" w:cs="Arial" w:eastAsia="Arial" w:hAnsi="Arial"/>
          <w:sz w:val="18"/>
          <w:szCs w:val="18"/>
          <w:color w:val="000000"/>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both"/>
        <w:ind w:firstLine="648"/>
        <w:spacing w:after="0" w:line="261" w:lineRule="auto"/>
        <w:rPr>
          <w:sz w:val="20"/>
          <w:szCs w:val="20"/>
          <w:color w:val="auto"/>
        </w:rPr>
      </w:pPr>
      <w:r>
        <w:rPr>
          <w:rFonts w:ascii="Arial" w:cs="Arial" w:eastAsia="Arial" w:hAnsi="Arial"/>
          <w:sz w:val="18"/>
          <w:szCs w:val="18"/>
          <w:color w:val="010000"/>
        </w:rPr>
        <w:t xml:space="preserve">4.14 </w:t>
      </w:r>
      <w:r>
        <w:rPr>
          <w:rFonts w:ascii="Arial" w:cs="Arial" w:eastAsia="Arial" w:hAnsi="Arial"/>
          <w:sz w:val="18"/>
          <w:szCs w:val="18"/>
          <w:b w:val="1"/>
          <w:bCs w:val="1"/>
          <w:u w:val="single" w:color="auto"/>
          <w:color w:val="000000"/>
        </w:rPr>
        <w:t>Indebtedness</w:t>
      </w:r>
      <w:r>
        <w:rPr>
          <w:rFonts w:ascii="Arial" w:cs="Arial" w:eastAsia="Arial" w:hAnsi="Arial"/>
          <w:sz w:val="18"/>
          <w:szCs w:val="18"/>
          <w:color w:val="000000"/>
        </w:rPr>
        <w:t>. Set forth on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4.14</w:t>
      </w:r>
      <w:r>
        <w:rPr>
          <w:rFonts w:ascii="Arial" w:cs="Arial" w:eastAsia="Arial" w:hAnsi="Arial"/>
          <w:sz w:val="18"/>
          <w:szCs w:val="18"/>
          <w:color w:val="010000"/>
        </w:rPr>
        <w:t xml:space="preserve"> </w:t>
      </w:r>
      <w:r>
        <w:rPr>
          <w:rFonts w:ascii="Arial" w:cs="Arial" w:eastAsia="Arial" w:hAnsi="Arial"/>
          <w:sz w:val="18"/>
          <w:szCs w:val="18"/>
          <w:color w:val="000000"/>
        </w:rPr>
        <w:t>to this Agreement is a true and complete list of all Indebtedness of each Loan Party and each</w:t>
      </w:r>
      <w:r>
        <w:rPr>
          <w:rFonts w:ascii="Arial" w:cs="Arial" w:eastAsia="Arial" w:hAnsi="Arial"/>
          <w:sz w:val="18"/>
          <w:szCs w:val="18"/>
          <w:color w:val="010000"/>
        </w:rPr>
        <w:t xml:space="preserve"> </w:t>
      </w:r>
      <w:r>
        <w:rPr>
          <w:rFonts w:ascii="Arial" w:cs="Arial" w:eastAsia="Arial" w:hAnsi="Arial"/>
          <w:sz w:val="18"/>
          <w:szCs w:val="18"/>
          <w:color w:val="000000"/>
        </w:rPr>
        <w:t>of its Subsidiaries that (a) constitutes obligations of such Person for borrowed money, (b) is outstanding immediately prior to the Closing Date and (c) is to remain outstanding immediately after giving effect to the closing hereunder on the Closing Date, and such Schedule accurately sets forth the aggregate principal amount of such Indebtedness as of the Closing Date.</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010000"/>
        </w:rPr>
        <w:t xml:space="preserve">4.15 </w:t>
      </w:r>
      <w:r>
        <w:rPr>
          <w:rFonts w:ascii="Arial" w:cs="Arial" w:eastAsia="Arial" w:hAnsi="Arial"/>
          <w:sz w:val="18"/>
          <w:szCs w:val="18"/>
          <w:b w:val="1"/>
          <w:bCs w:val="1"/>
          <w:u w:val="single" w:color="auto"/>
          <w:color w:val="000000"/>
        </w:rPr>
        <w:t>Payment of Taxes</w:t>
      </w:r>
      <w:r>
        <w:rPr>
          <w:rFonts w:ascii="Arial" w:cs="Arial" w:eastAsia="Arial" w:hAnsi="Arial"/>
          <w:sz w:val="18"/>
          <w:szCs w:val="18"/>
          <w:color w:val="000000"/>
        </w:rPr>
        <w:t>. Except as otherwise permitted under</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5.5</w:t>
      </w:r>
      <w:r>
        <w:rPr>
          <w:rFonts w:ascii="Arial" w:cs="Arial" w:eastAsia="Arial" w:hAnsi="Arial"/>
          <w:sz w:val="18"/>
          <w:szCs w:val="18"/>
          <w:color w:val="010000"/>
        </w:rPr>
        <w:t xml:space="preserve"> </w:t>
      </w:r>
      <w:r>
        <w:rPr>
          <w:rFonts w:ascii="Arial" w:cs="Arial" w:eastAsia="Arial" w:hAnsi="Arial"/>
          <w:sz w:val="18"/>
          <w:szCs w:val="18"/>
          <w:color w:val="000000"/>
        </w:rPr>
        <w:t>and except as could not reasonably be expected to result in liability</w:t>
      </w:r>
      <w:r>
        <w:rPr>
          <w:rFonts w:ascii="Arial" w:cs="Arial" w:eastAsia="Arial" w:hAnsi="Arial"/>
          <w:sz w:val="18"/>
          <w:szCs w:val="18"/>
          <w:color w:val="010000"/>
        </w:rPr>
        <w:t xml:space="preserve"> </w:t>
      </w:r>
      <w:r>
        <w:rPr>
          <w:rFonts w:ascii="Arial" w:cs="Arial" w:eastAsia="Arial" w:hAnsi="Arial"/>
          <w:sz w:val="18"/>
          <w:szCs w:val="18"/>
          <w:color w:val="000000"/>
        </w:rPr>
        <w:t xml:space="preserve">in excess of $10,000,000, all Tax returns and reports of each Loan Party and its Subsidiaries required to be filed by any of them have been timely filed, and all Taxes shown on such Tax returns to be due and payable and all other Taxes upon a Loan Party and its Subsidiaries and upon their respective assets, income, businesses and franchises that are due and payable have been paid when due and payable. Each Loan Party and each of its Subsidiaries have made adequate provision in accordance with GAAP for all Taxes not yet due and payable. No Borrower knows of any proposed Tax assessment against a Loan Party or any of its Subsidiaries that is not being actively contested by such Loan Party or such Subsidiary diligently, in good faith, and by appropriate proceedings; </w:t>
      </w:r>
      <w:r>
        <w:rPr>
          <w:rFonts w:ascii="Arial" w:cs="Arial" w:eastAsia="Arial" w:hAnsi="Arial"/>
          <w:sz w:val="18"/>
          <w:szCs w:val="18"/>
          <w:u w:val="single" w:color="auto"/>
          <w:color w:val="000000"/>
        </w:rPr>
        <w:t>provided</w:t>
      </w:r>
      <w:r>
        <w:rPr>
          <w:rFonts w:ascii="Arial" w:cs="Arial" w:eastAsia="Arial" w:hAnsi="Arial"/>
          <w:sz w:val="18"/>
          <w:szCs w:val="18"/>
          <w:color w:val="000000"/>
        </w:rPr>
        <w:t>, that such reserves or other appropriate provisions, if any, as shall be required in conformity with GAAP shall have been made or provided therefor.</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010000"/>
        </w:rPr>
        <w:t xml:space="preserve">4.16 </w:t>
      </w:r>
      <w:r>
        <w:rPr>
          <w:rFonts w:ascii="Arial" w:cs="Arial" w:eastAsia="Arial" w:hAnsi="Arial"/>
          <w:sz w:val="18"/>
          <w:szCs w:val="18"/>
          <w:b w:val="1"/>
          <w:bCs w:val="1"/>
          <w:u w:val="single" w:color="auto"/>
          <w:color w:val="000000"/>
        </w:rPr>
        <w:t>Margin Stock</w:t>
      </w:r>
      <w:r>
        <w:rPr>
          <w:rFonts w:ascii="Arial" w:cs="Arial" w:eastAsia="Arial" w:hAnsi="Arial"/>
          <w:sz w:val="18"/>
          <w:szCs w:val="18"/>
          <w:color w:val="000000"/>
        </w:rPr>
        <w:t>. Neither any Loan Party nor any of its Subsidiaries owns any Margin Stock or is engaged principally, or as one of its</w:t>
      </w:r>
      <w:r>
        <w:rPr>
          <w:rFonts w:ascii="Arial" w:cs="Arial" w:eastAsia="Arial" w:hAnsi="Arial"/>
          <w:sz w:val="18"/>
          <w:szCs w:val="18"/>
          <w:color w:val="010000"/>
        </w:rPr>
        <w:t xml:space="preserve"> </w:t>
      </w:r>
      <w:r>
        <w:rPr>
          <w:rFonts w:ascii="Arial" w:cs="Arial" w:eastAsia="Arial" w:hAnsi="Arial"/>
          <w:sz w:val="18"/>
          <w:szCs w:val="18"/>
          <w:color w:val="000000"/>
        </w:rPr>
        <w:t>important activities, in the business of extending credit for the purpose of purchasing or carrying any Margin Stock. No part of the proceeds of the loans made to Borrowers will be used to purchase or carry any Margin Stock or to extend credit to others for the purpose of purchasing or carrying any Margin Stock or for any purpose that violates the provisions of Regulation T, U or X of the Board of Governors. Neither any Loan Party nor any of its Subsidiaries expects to acquire any Margin Stock.</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010000"/>
        </w:rPr>
        <w:t xml:space="preserve">4.17 </w:t>
      </w:r>
      <w:r>
        <w:rPr>
          <w:rFonts w:ascii="Arial" w:cs="Arial" w:eastAsia="Arial" w:hAnsi="Arial"/>
          <w:sz w:val="18"/>
          <w:szCs w:val="18"/>
          <w:b w:val="1"/>
          <w:bCs w:val="1"/>
          <w:u w:val="single" w:color="auto"/>
          <w:color w:val="000000"/>
        </w:rPr>
        <w:t>Governmental Regulation</w:t>
      </w:r>
      <w:r>
        <w:rPr>
          <w:rFonts w:ascii="Arial" w:cs="Arial" w:eastAsia="Arial" w:hAnsi="Arial"/>
          <w:sz w:val="18"/>
          <w:szCs w:val="18"/>
          <w:color w:val="000000"/>
        </w:rPr>
        <w:t>. No Loan Party nor any of its Subsidiaries is subject to regulation under the Federal Power Act or the</w:t>
      </w:r>
      <w:r>
        <w:rPr>
          <w:rFonts w:ascii="Arial" w:cs="Arial" w:eastAsia="Arial" w:hAnsi="Arial"/>
          <w:sz w:val="18"/>
          <w:szCs w:val="18"/>
          <w:color w:val="010000"/>
        </w:rPr>
        <w:t xml:space="preserve"> </w:t>
      </w:r>
      <w:r>
        <w:rPr>
          <w:rFonts w:ascii="Arial" w:cs="Arial" w:eastAsia="Arial" w:hAnsi="Arial"/>
          <w:sz w:val="18"/>
          <w:szCs w:val="18"/>
          <w:color w:val="000000"/>
        </w:rPr>
        <w:t>Investment Company Act of 1940 or under any other federal or state statute or regulation which may limit its ability to incur Indebtedness or which may otherwise render all or any portion of the Obligations unenforceable. No Loan Party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4.18 </w:t>
      </w:r>
      <w:r>
        <w:rPr>
          <w:rFonts w:ascii="Arial" w:cs="Arial" w:eastAsia="Arial" w:hAnsi="Arial"/>
          <w:sz w:val="17"/>
          <w:szCs w:val="17"/>
          <w:b w:val="1"/>
          <w:bCs w:val="1"/>
          <w:u w:val="single" w:color="auto"/>
          <w:color w:val="000000"/>
        </w:rPr>
        <w:t>OFAC; Sanctions; Anti-Corruption Laws; Anti-Money Laundering Laws</w:t>
      </w:r>
      <w:r>
        <w:rPr>
          <w:rFonts w:ascii="Arial" w:cs="Arial" w:eastAsia="Arial" w:hAnsi="Arial"/>
          <w:sz w:val="17"/>
          <w:szCs w:val="17"/>
          <w:color w:val="000000"/>
        </w:rPr>
        <w:t>. No Loan Party or any of its Subsidiaries is in violation of</w:t>
      </w:r>
      <w:r>
        <w:rPr>
          <w:rFonts w:ascii="Arial" w:cs="Arial" w:eastAsia="Arial" w:hAnsi="Arial"/>
          <w:sz w:val="17"/>
          <w:szCs w:val="17"/>
          <w:color w:val="010000"/>
        </w:rPr>
        <w:t xml:space="preserve"> </w:t>
      </w:r>
      <w:r>
        <w:rPr>
          <w:rFonts w:ascii="Arial" w:cs="Arial" w:eastAsia="Arial" w:hAnsi="Arial"/>
          <w:sz w:val="17"/>
          <w:szCs w:val="17"/>
          <w:color w:val="000000"/>
        </w:rPr>
        <w:t>any Sanctions. No Loan Party nor any of its Subsidiaries nor,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designed to ensure compliance with all Sanctions, Anti-Corruption Laws and Anti-Money Laundering Laws. Each of the Loan Parties and its Subsidiaries, and to the knowledge of each such Loan Party, each director, officer, employee, agent and Affiliate of each such Loan Party and each such Subsidiary, is in compliance with all Sanctions, Anti-Corruption Laws and Anti-Money Laundering Laws. No proceeds of any Loan made or Letter of Credit issued hereunder will be used to fund any operations in, finance any investments or activities in, or make any payments to, a Sanctioned Person or a Sanctioned Entity, or otherwise used in any manner that would result in a violation of any Sanction, Anti-Corruption Law or Anti-Money Laundering Law by any Person (including any Lender, Bank Product Provider, or other individual or entity participating in any transaction).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both"/>
        <w:ind w:firstLine="648"/>
        <w:spacing w:after="0" w:line="269" w:lineRule="auto"/>
        <w:rPr>
          <w:sz w:val="20"/>
          <w:szCs w:val="20"/>
          <w:color w:val="auto"/>
        </w:rPr>
      </w:pPr>
      <w:r>
        <w:rPr>
          <w:rFonts w:ascii="Arial" w:cs="Arial" w:eastAsia="Arial" w:hAnsi="Arial"/>
          <w:sz w:val="17"/>
          <w:szCs w:val="17"/>
          <w:color w:val="010000"/>
        </w:rPr>
        <w:t xml:space="preserve">4.19 </w:t>
      </w:r>
      <w:r>
        <w:rPr>
          <w:rFonts w:ascii="Arial" w:cs="Arial" w:eastAsia="Arial" w:hAnsi="Arial"/>
          <w:sz w:val="17"/>
          <w:szCs w:val="17"/>
          <w:b w:val="1"/>
          <w:bCs w:val="1"/>
          <w:u w:val="single" w:color="auto"/>
          <w:color w:val="000000"/>
        </w:rPr>
        <w:t>Employee and Labor Matters</w:t>
      </w:r>
      <w:r>
        <w:rPr>
          <w:rFonts w:ascii="Arial" w:cs="Arial" w:eastAsia="Arial" w:hAnsi="Arial"/>
          <w:sz w:val="17"/>
          <w:szCs w:val="17"/>
          <w:color w:val="000000"/>
        </w:rPr>
        <w:t>. There is (a) no unfair labor practice complaint pending or, to the knowledge of any Borrower,</w:t>
      </w:r>
      <w:r>
        <w:rPr>
          <w:rFonts w:ascii="Arial" w:cs="Arial" w:eastAsia="Arial" w:hAnsi="Arial"/>
          <w:sz w:val="17"/>
          <w:szCs w:val="17"/>
          <w:color w:val="010000"/>
        </w:rPr>
        <w:t xml:space="preserve"> </w:t>
      </w:r>
      <w:r>
        <w:rPr>
          <w:rFonts w:ascii="Arial" w:cs="Arial" w:eastAsia="Arial" w:hAnsi="Arial"/>
          <w:sz w:val="17"/>
          <w:szCs w:val="17"/>
          <w:color w:val="000000"/>
        </w:rPr>
        <w:t>threatened against any Loan Party or its Subsidiaries before any Governmental Authority and no grievance or arbitration proceeding pending or threatened against any Loan Party or its Subsidiaries which arises out of or under any collective bargaining agreement and that could reasonably be expected to result in a Material Adverse Effect, (b) no strike, labor dispute, slowdown, stoppage or similar action or grievance pending or threatened in writing against any Loan Party or its Subsidiaries that could reasonably be expected to result in a Material Adverse Effect, or (c) to the knowledge of any Borrower, no union representation question existing with respect to the employees of any Loan Party or its Subsidiaries and no union organizing activity taking place with respect to any of the employees of any Loan Party or its Subsidiaries. None of any Loan Party or its Subsidiaries has incurred any liability or obligation under the Worker Adjustment and Retraining Notification Act or similar state law, which remains unpaid or unsatisfied. The hours worked and payments made to employees of each Loan Party and its Subsidiaries have not been in violation of the Fair Labor Standards Act or any other applicable legal requirements, except to the extent such violations could not, individually or in the aggregate, reasonably be expected to result in a Material Adverse Effect. All material payments due from any Loan Party or its Subsidiaries on account of wages and employee health and welfare insurance and other benefits have been paid or accrued as a liability on the books of Parent, except where the failure to do so could not, individually or in the aggregate, reasonably be expected to result in a Material Adverse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4.20 </w:t>
      </w:r>
      <w:r>
        <w:rPr>
          <w:rFonts w:ascii="Arial" w:cs="Arial" w:eastAsia="Arial" w:hAnsi="Arial"/>
          <w:sz w:val="18"/>
          <w:szCs w:val="18"/>
          <w:b w:val="1"/>
          <w:bCs w:val="1"/>
          <w:u w:val="single" w:color="auto"/>
          <w:color w:val="000000"/>
        </w:rPr>
        <w:t>Parent as a Holding Company</w:t>
      </w:r>
      <w:r>
        <w:rPr>
          <w:rFonts w:ascii="Arial" w:cs="Arial" w:eastAsia="Arial" w:hAnsi="Arial"/>
          <w:sz w:val="18"/>
          <w:szCs w:val="18"/>
          <w:color w:val="000000"/>
        </w:rPr>
        <w:t>. Parent is a holding company and does not have any material liabilities (other than liabilities arising</w:t>
      </w:r>
      <w:r>
        <w:rPr>
          <w:rFonts w:ascii="Arial" w:cs="Arial" w:eastAsia="Arial" w:hAnsi="Arial"/>
          <w:sz w:val="18"/>
          <w:szCs w:val="18"/>
          <w:color w:val="010000"/>
        </w:rPr>
        <w:t xml:space="preserve"> </w:t>
      </w:r>
      <w:r>
        <w:rPr>
          <w:rFonts w:ascii="Arial" w:cs="Arial" w:eastAsia="Arial" w:hAnsi="Arial"/>
          <w:sz w:val="18"/>
          <w:szCs w:val="18"/>
          <w:color w:val="000000"/>
        </w:rPr>
        <w:t>under the Loan Documents), own any material assets (other than the Equity Interests of AerSale) or engage in any operations or business (other than the ownership of AerSale and its Subsidiaries).</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010000"/>
        </w:rPr>
        <w:t xml:space="preserve">4.21 </w:t>
      </w:r>
      <w:r>
        <w:rPr>
          <w:rFonts w:ascii="Arial" w:cs="Arial" w:eastAsia="Arial" w:hAnsi="Arial"/>
          <w:sz w:val="18"/>
          <w:szCs w:val="18"/>
          <w:b w:val="1"/>
          <w:bCs w:val="1"/>
          <w:u w:val="single" w:color="auto"/>
          <w:color w:val="000000"/>
        </w:rPr>
        <w:t>Leases</w:t>
      </w:r>
      <w:r>
        <w:rPr>
          <w:rFonts w:ascii="Arial" w:cs="Arial" w:eastAsia="Arial" w:hAnsi="Arial"/>
          <w:sz w:val="18"/>
          <w:szCs w:val="18"/>
          <w:color w:val="000000"/>
        </w:rPr>
        <w:t>. Except as could not reasonably be expected to result in a Material Adverse Effect, each Loan Party and its Subsidiaries enjoy</w:t>
      </w:r>
      <w:r>
        <w:rPr>
          <w:rFonts w:ascii="Arial" w:cs="Arial" w:eastAsia="Arial" w:hAnsi="Arial"/>
          <w:sz w:val="18"/>
          <w:szCs w:val="18"/>
          <w:color w:val="010000"/>
        </w:rPr>
        <w:t xml:space="preserve"> </w:t>
      </w:r>
      <w:r>
        <w:rPr>
          <w:rFonts w:ascii="Arial" w:cs="Arial" w:eastAsia="Arial" w:hAnsi="Arial"/>
          <w:sz w:val="18"/>
          <w:szCs w:val="18"/>
          <w:color w:val="000000"/>
        </w:rPr>
        <w:t>peaceful and undisturbed possession under all leases material to their business and to which they are parties or under which they are operating, and, subject to Permitted Protests, all of such material leases are valid and subsisting and no material default by the applicable Loan Party or its Subsidiaries exists under any of them.</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010000"/>
        </w:rPr>
        <w:t xml:space="preserve">4.22 </w:t>
      </w:r>
      <w:r>
        <w:rPr>
          <w:rFonts w:ascii="Arial" w:cs="Arial" w:eastAsia="Arial" w:hAnsi="Arial"/>
          <w:sz w:val="17"/>
          <w:szCs w:val="17"/>
          <w:b w:val="1"/>
          <w:bCs w:val="1"/>
          <w:u w:val="single" w:color="auto"/>
          <w:color w:val="000000"/>
        </w:rPr>
        <w:t>Eligible Accounts</w:t>
      </w:r>
      <w:r>
        <w:rPr>
          <w:rFonts w:ascii="Arial" w:cs="Arial" w:eastAsia="Arial" w:hAnsi="Arial"/>
          <w:sz w:val="17"/>
          <w:szCs w:val="17"/>
          <w:color w:val="000000"/>
        </w:rPr>
        <w:t>. As to each Account that is identified by Borrowers as an Eligible Account in a Borrowing Base Certificate submitted</w:t>
      </w:r>
      <w:r>
        <w:rPr>
          <w:rFonts w:ascii="Arial" w:cs="Arial" w:eastAsia="Arial" w:hAnsi="Arial"/>
          <w:sz w:val="17"/>
          <w:szCs w:val="17"/>
          <w:color w:val="010000"/>
        </w:rPr>
        <w:t xml:space="preserve"> </w:t>
      </w:r>
      <w:r>
        <w:rPr>
          <w:rFonts w:ascii="Arial" w:cs="Arial" w:eastAsia="Arial" w:hAnsi="Arial"/>
          <w:sz w:val="17"/>
          <w:szCs w:val="17"/>
          <w:color w:val="000000"/>
        </w:rPr>
        <w:t>to Agent, such Account is (a) a bona fide existing payment obligation of the applicable Account Debtor created by the sale and delivery of Inventory or the rendition of services to such Account Debtor in the ordinary course of a Borrower’s business and (b) not excluded as ineligible by virtue of one or more of the excluding criteria (other than any Agent-discretionary criteria) set forth in the definition of Eligible Accounts.</w:t>
      </w:r>
    </w:p>
    <w:p>
      <w:pPr>
        <w:spacing w:after="0" w:line="16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4.23</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010000"/>
        </w:rPr>
        <w:t xml:space="preserve">4.24 </w:t>
      </w:r>
      <w:r>
        <w:rPr>
          <w:rFonts w:ascii="Arial" w:cs="Arial" w:eastAsia="Arial" w:hAnsi="Arial"/>
          <w:sz w:val="18"/>
          <w:szCs w:val="18"/>
          <w:b w:val="1"/>
          <w:bCs w:val="1"/>
          <w:u w:val="single" w:color="auto"/>
          <w:color w:val="000000"/>
        </w:rPr>
        <w:t>Eligible Whole Aircraft Collateral, Eligible Whole Engine Collateral and Eligible Parts</w:t>
      </w:r>
      <w:r>
        <w:rPr>
          <w:rFonts w:ascii="Arial" w:cs="Arial" w:eastAsia="Arial" w:hAnsi="Arial"/>
          <w:sz w:val="18"/>
          <w:szCs w:val="18"/>
          <w:color w:val="000000"/>
        </w:rPr>
        <w:t>. As to each item of Whole Aircraft, Whole</w:t>
      </w:r>
      <w:r>
        <w:rPr>
          <w:rFonts w:ascii="Arial" w:cs="Arial" w:eastAsia="Arial" w:hAnsi="Arial"/>
          <w:sz w:val="18"/>
          <w:szCs w:val="18"/>
          <w:color w:val="010000"/>
        </w:rPr>
        <w:t xml:space="preserve"> </w:t>
      </w:r>
      <w:r>
        <w:rPr>
          <w:rFonts w:ascii="Arial" w:cs="Arial" w:eastAsia="Arial" w:hAnsi="Arial"/>
          <w:sz w:val="18"/>
          <w:szCs w:val="18"/>
          <w:color w:val="000000"/>
        </w:rPr>
        <w:t>Engines or Parts that is identified by Borrowers as an Eligible Whole Aircraft Collateral, Eligible Whole Engine Collateral or Eligible Part, respectively, in a Borrowing Base Certificate submitted to Agent, such Whole Aircraft, Whole Engine or Part is not excluded as ineligible by virtue of one or more of the excluding criteria (other than any Agent-discretionary criteria) set forth in the definition of Eligible Whole Aircraft Collateral, Eligible Whole Engine Collateral or Eligible Parts, as applicable.</w:t>
      </w:r>
    </w:p>
    <w:p>
      <w:pPr>
        <w:spacing w:after="0" w:line="18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4.25</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jc w:val="both"/>
        <w:ind w:firstLine="648"/>
        <w:spacing w:after="0" w:line="266" w:lineRule="auto"/>
        <w:rPr>
          <w:sz w:val="20"/>
          <w:szCs w:val="20"/>
          <w:color w:val="auto"/>
        </w:rPr>
      </w:pPr>
      <w:r>
        <w:rPr>
          <w:rFonts w:ascii="Arial" w:cs="Arial" w:eastAsia="Arial" w:hAnsi="Arial"/>
          <w:sz w:val="18"/>
          <w:szCs w:val="18"/>
          <w:color w:val="010000"/>
        </w:rPr>
        <w:t xml:space="preserve">4.26 </w:t>
      </w:r>
      <w:r>
        <w:rPr>
          <w:rFonts w:ascii="Arial" w:cs="Arial" w:eastAsia="Arial" w:hAnsi="Arial"/>
          <w:sz w:val="18"/>
          <w:szCs w:val="18"/>
          <w:b w:val="1"/>
          <w:bCs w:val="1"/>
          <w:u w:val="single" w:color="auto"/>
          <w:color w:val="000000"/>
        </w:rPr>
        <w:t>Records</w:t>
      </w:r>
      <w:r>
        <w:rPr>
          <w:rFonts w:ascii="Arial" w:cs="Arial" w:eastAsia="Arial" w:hAnsi="Arial"/>
          <w:sz w:val="18"/>
          <w:szCs w:val="18"/>
          <w:color w:val="000000"/>
        </w:rPr>
        <w:t>. Each Loan Party keeps correct and accurate records itemizing and describing the type, quality, and quantity of its and its</w:t>
      </w:r>
      <w:r>
        <w:rPr>
          <w:rFonts w:ascii="Arial" w:cs="Arial" w:eastAsia="Arial" w:hAnsi="Arial"/>
          <w:sz w:val="18"/>
          <w:szCs w:val="18"/>
          <w:color w:val="010000"/>
        </w:rPr>
        <w:t xml:space="preserve"> </w:t>
      </w:r>
      <w:r>
        <w:rPr>
          <w:rFonts w:ascii="Arial" w:cs="Arial" w:eastAsia="Arial" w:hAnsi="Arial"/>
          <w:sz w:val="18"/>
          <w:szCs w:val="18"/>
          <w:color w:val="000000"/>
        </w:rPr>
        <w:t>Subsidiaries’ Whole Aircraft, Whole Engines and Parts that are identified by Borrowers as an Eligible Whole Aircraft Collateral, Eligible Whole Engine Collateral or Eligible Part, respectively, in a Borrowing Base Certificate submitted to Agent, and the book value thereof.</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4.27 </w:t>
      </w:r>
      <w:r>
        <w:rPr>
          <w:rFonts w:ascii="Arial" w:cs="Arial" w:eastAsia="Arial" w:hAnsi="Arial"/>
          <w:sz w:val="18"/>
          <w:szCs w:val="18"/>
          <w:b w:val="1"/>
          <w:bCs w:val="1"/>
          <w:u w:val="single" w:color="auto"/>
          <w:color w:val="000000"/>
        </w:rPr>
        <w:t>Material Contracts</w:t>
      </w:r>
      <w:r>
        <w:rPr>
          <w:rFonts w:ascii="Arial" w:cs="Arial" w:eastAsia="Arial" w:hAnsi="Arial"/>
          <w:sz w:val="18"/>
          <w:szCs w:val="18"/>
          <w:color w:val="000000"/>
        </w:rPr>
        <w:t>. Set forth on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4.27</w:t>
      </w:r>
      <w:r>
        <w:rPr>
          <w:rFonts w:ascii="Arial" w:cs="Arial" w:eastAsia="Arial" w:hAnsi="Arial"/>
          <w:sz w:val="18"/>
          <w:szCs w:val="18"/>
          <w:color w:val="010000"/>
        </w:rPr>
        <w:t xml:space="preserve"> </w:t>
      </w:r>
      <w:r>
        <w:rPr>
          <w:rFonts w:ascii="Arial" w:cs="Arial" w:eastAsia="Arial" w:hAnsi="Arial"/>
          <w:sz w:val="18"/>
          <w:szCs w:val="18"/>
          <w:color w:val="000000"/>
        </w:rPr>
        <w:t>is a reasonably detailed description of the Material Contracts of each Loan Party and its</w:t>
      </w:r>
      <w:r>
        <w:rPr>
          <w:rFonts w:ascii="Arial" w:cs="Arial" w:eastAsia="Arial" w:hAnsi="Arial"/>
          <w:sz w:val="18"/>
          <w:szCs w:val="18"/>
          <w:color w:val="010000"/>
        </w:rPr>
        <w:t xml:space="preserve"> </w:t>
      </w:r>
      <w:r>
        <w:rPr>
          <w:rFonts w:ascii="Arial" w:cs="Arial" w:eastAsia="Arial" w:hAnsi="Arial"/>
          <w:sz w:val="18"/>
          <w:szCs w:val="18"/>
          <w:color w:val="000000"/>
        </w:rPr>
        <w:t>Subsidiaries as of the Closing Date.</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4.28</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4.29</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4.30 </w:t>
      </w:r>
      <w:r>
        <w:rPr>
          <w:rFonts w:ascii="Arial" w:cs="Arial" w:eastAsia="Arial" w:hAnsi="Arial"/>
          <w:sz w:val="18"/>
          <w:szCs w:val="18"/>
          <w:b w:val="1"/>
          <w:bCs w:val="1"/>
          <w:u w:val="single" w:color="auto"/>
          <w:color w:val="000000"/>
        </w:rPr>
        <w:t>Hedge Agreements</w:t>
      </w:r>
      <w:r>
        <w:rPr>
          <w:rFonts w:ascii="Arial" w:cs="Arial" w:eastAsia="Arial" w:hAnsi="Arial"/>
          <w:sz w:val="18"/>
          <w:szCs w:val="18"/>
          <w:color w:val="000000"/>
        </w:rPr>
        <w:t>. On each date that any Hedge Agreement is executed by any Hedge Provider, Borrower and each other Loan Party</w:t>
      </w:r>
      <w:r>
        <w:rPr>
          <w:rFonts w:ascii="Arial" w:cs="Arial" w:eastAsia="Arial" w:hAnsi="Arial"/>
          <w:sz w:val="18"/>
          <w:szCs w:val="18"/>
          <w:color w:val="010000"/>
        </w:rPr>
        <w:t xml:space="preserve"> </w:t>
      </w:r>
      <w:r>
        <w:rPr>
          <w:rFonts w:ascii="Arial" w:cs="Arial" w:eastAsia="Arial" w:hAnsi="Arial"/>
          <w:sz w:val="18"/>
          <w:szCs w:val="18"/>
          <w:color w:val="000000"/>
        </w:rPr>
        <w:t>satisfy all eligibility, suitability and other requirements under the Commodity Exchange Act (7 U.S.C. § 1, et seq., as in effect from time to time) and the Commodity Futures Trading Commission regulations.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4.31 </w:t>
      </w:r>
      <w:r>
        <w:rPr>
          <w:rFonts w:ascii="Arial" w:cs="Arial" w:eastAsia="Arial" w:hAnsi="Arial"/>
          <w:sz w:val="18"/>
          <w:szCs w:val="18"/>
          <w:b w:val="1"/>
          <w:bCs w:val="1"/>
          <w:u w:val="single" w:color="auto"/>
          <w:color w:val="000000"/>
        </w:rPr>
        <w:t>Irish Borrowers</w:t>
      </w:r>
      <w:r>
        <w:rPr>
          <w:rFonts w:ascii="Arial" w:cs="Arial" w:eastAsia="Arial" w:hAnsi="Arial"/>
          <w:sz w:val="18"/>
          <w:szCs w:val="18"/>
          <w:color w:val="000000"/>
        </w:rPr>
        <w:t>. As of the Closing Date, each Irish Borrower is a wholly owned subsidiary of AerSale which, on a consolidated group</w:t>
      </w:r>
      <w:r>
        <w:rPr>
          <w:rFonts w:ascii="Arial" w:cs="Arial" w:eastAsia="Arial" w:hAnsi="Arial"/>
          <w:sz w:val="18"/>
          <w:szCs w:val="18"/>
          <w:color w:val="010000"/>
        </w:rPr>
        <w:t xml:space="preserve"> </w:t>
      </w:r>
      <w:r>
        <w:rPr>
          <w:rFonts w:ascii="Arial" w:cs="Arial" w:eastAsia="Arial" w:hAnsi="Arial"/>
          <w:sz w:val="18"/>
          <w:szCs w:val="18"/>
          <w:color w:val="000000"/>
        </w:rPr>
        <w:t>basis, has an annual turnover greater than €50,000,000 and a balance sheet total greater than €43,000,000.</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010000"/>
        </w:rPr>
        <w:t xml:space="preserve">4.32 </w:t>
      </w:r>
      <w:r>
        <w:rPr>
          <w:rFonts w:ascii="Arial" w:cs="Arial" w:eastAsia="Arial" w:hAnsi="Arial"/>
          <w:sz w:val="18"/>
          <w:szCs w:val="18"/>
          <w:b w:val="1"/>
          <w:bCs w:val="1"/>
          <w:u w:val="single" w:color="auto"/>
          <w:color w:val="000000"/>
        </w:rPr>
        <w:t>Financial Assistance</w:t>
      </w:r>
      <w:r>
        <w:rPr>
          <w:rFonts w:ascii="Arial" w:cs="Arial" w:eastAsia="Arial" w:hAnsi="Arial"/>
          <w:sz w:val="18"/>
          <w:szCs w:val="18"/>
          <w:color w:val="000000"/>
        </w:rPr>
        <w:t>. The Loans have not been and will not be made for the purposes of an acquisition of shares in a Borrower</w:t>
      </w:r>
      <w:r>
        <w:rPr>
          <w:rFonts w:ascii="Arial" w:cs="Arial" w:eastAsia="Arial" w:hAnsi="Arial"/>
          <w:sz w:val="18"/>
          <w:szCs w:val="18"/>
          <w:color w:val="010000"/>
        </w:rPr>
        <w:t xml:space="preserve"> </w:t>
      </w:r>
      <w:r>
        <w:rPr>
          <w:rFonts w:ascii="Arial" w:cs="Arial" w:eastAsia="Arial" w:hAnsi="Arial"/>
          <w:sz w:val="18"/>
          <w:szCs w:val="18"/>
          <w:color w:val="000000"/>
        </w:rPr>
        <w:t>incorporated under the laws of Ireland and/or such Borrower’s holding company to the extent that it would constitute unlawful financial assistance for the purposes of section 82 of the Companies Acts 2014 of Ireland, nor will the entry by such Borrower into the Loan Documents and the transactions contemplated thereby and the performance by such Borrower of its obligations thereunder constitute unlawful financial assistance for the purposes of section 82 of the Companies Acts 2014 of Ireland.</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010000"/>
        </w:rPr>
        <w:t xml:space="preserve">4.33 </w:t>
      </w:r>
      <w:r>
        <w:rPr>
          <w:rFonts w:ascii="Arial" w:cs="Arial" w:eastAsia="Arial" w:hAnsi="Arial"/>
          <w:sz w:val="18"/>
          <w:szCs w:val="18"/>
          <w:b w:val="1"/>
          <w:bCs w:val="1"/>
          <w:u w:val="single" w:color="auto"/>
          <w:color w:val="000000"/>
        </w:rPr>
        <w:t>Loans to Directors and Connected Persons</w:t>
      </w:r>
      <w:r>
        <w:rPr>
          <w:rFonts w:ascii="Arial" w:cs="Arial" w:eastAsia="Arial" w:hAnsi="Arial"/>
          <w:sz w:val="18"/>
          <w:szCs w:val="18"/>
          <w:color w:val="000000"/>
        </w:rPr>
        <w:t>. The Loan Documents do not constitute loans or quasi-loans or credit transactions entered</w:t>
      </w:r>
      <w:r>
        <w:rPr>
          <w:rFonts w:ascii="Arial" w:cs="Arial" w:eastAsia="Arial" w:hAnsi="Arial"/>
          <w:sz w:val="18"/>
          <w:szCs w:val="18"/>
          <w:color w:val="010000"/>
        </w:rPr>
        <w:t xml:space="preserve"> </w:t>
      </w:r>
      <w:r>
        <w:rPr>
          <w:rFonts w:ascii="Arial" w:cs="Arial" w:eastAsia="Arial" w:hAnsi="Arial"/>
          <w:sz w:val="18"/>
          <w:szCs w:val="18"/>
          <w:color w:val="000000"/>
        </w:rPr>
        <w:t>into by a Borrower incorporated under the laws of Ireland to or for the benefit of any of the directors of such Borrower or of such Borrower’s holding company (or any person connected to such persons) which are prohibited by section 239 of the Companies Act, 2014 of Ireland because the provisions of section 243 of the Companies Act 2014 of Ireland apply.</w:t>
      </w:r>
    </w:p>
    <w:p>
      <w:pPr>
        <w:spacing w:after="0" w:line="180" w:lineRule="exact"/>
        <w:rPr>
          <w:sz w:val="20"/>
          <w:szCs w:val="20"/>
          <w:color w:val="auto"/>
        </w:rPr>
      </w:pPr>
    </w:p>
    <w:p>
      <w:pPr>
        <w:ind w:left="720" w:hanging="712"/>
        <w:spacing w:after="0"/>
        <w:tabs>
          <w:tab w:leader="none" w:pos="720" w:val="left"/>
        </w:tabs>
        <w:numPr>
          <w:ilvl w:val="0"/>
          <w:numId w:val="136"/>
        </w:numPr>
        <w:rPr>
          <w:rFonts w:ascii="Arial" w:cs="Arial" w:eastAsia="Arial" w:hAnsi="Arial"/>
          <w:sz w:val="18"/>
          <w:szCs w:val="18"/>
          <w:color w:val="010000"/>
        </w:rPr>
      </w:pPr>
      <w:r>
        <w:rPr>
          <w:rFonts w:ascii="Arial" w:cs="Arial" w:eastAsia="Arial" w:hAnsi="Arial"/>
          <w:sz w:val="18"/>
          <w:szCs w:val="18"/>
          <w:b w:val="1"/>
          <w:bCs w:val="1"/>
          <w:color w:val="auto"/>
        </w:rPr>
        <w:t>AFFIRMATIVE COVENANTS.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Each of Parent and each Borrower covenants and agrees that, until the termination of all of the Commitments and payment in full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010000"/>
        </w:rPr>
        <w:t xml:space="preserve">5.1 </w:t>
      </w:r>
      <w:r>
        <w:rPr>
          <w:rFonts w:ascii="Arial" w:cs="Arial" w:eastAsia="Arial" w:hAnsi="Arial"/>
          <w:sz w:val="18"/>
          <w:szCs w:val="18"/>
          <w:b w:val="1"/>
          <w:bCs w:val="1"/>
          <w:u w:val="single" w:color="auto"/>
          <w:color w:val="000000"/>
        </w:rPr>
        <w:t>Financial Statements, Reports, Certificates</w:t>
      </w:r>
      <w:r>
        <w:rPr>
          <w:rFonts w:ascii="Arial" w:cs="Arial" w:eastAsia="Arial" w:hAnsi="Arial"/>
          <w:sz w:val="18"/>
          <w:szCs w:val="18"/>
          <w:color w:val="000000"/>
        </w:rPr>
        <w:t>. Borrowers (a) will deliver to Agent, with copies to each Lender, each of the financial</w:t>
      </w:r>
      <w:r>
        <w:rPr>
          <w:rFonts w:ascii="Arial" w:cs="Arial" w:eastAsia="Arial" w:hAnsi="Arial"/>
          <w:sz w:val="18"/>
          <w:szCs w:val="18"/>
          <w:color w:val="010000"/>
        </w:rPr>
        <w:t xml:space="preserve"> </w:t>
      </w:r>
      <w:r>
        <w:rPr>
          <w:rFonts w:ascii="Arial" w:cs="Arial" w:eastAsia="Arial" w:hAnsi="Arial"/>
          <w:sz w:val="18"/>
          <w:szCs w:val="18"/>
          <w:color w:val="000000"/>
        </w:rPr>
        <w:t xml:space="preserve">statements, reports, and other items set forth on </w:t>
      </w:r>
      <w:r>
        <w:rPr>
          <w:rFonts w:ascii="Arial" w:cs="Arial" w:eastAsia="Arial" w:hAnsi="Arial"/>
          <w:sz w:val="18"/>
          <w:szCs w:val="18"/>
          <w:u w:val="single" w:color="auto"/>
          <w:color w:val="000000"/>
        </w:rPr>
        <w:t>Schedule 5.1</w:t>
      </w:r>
      <w:r>
        <w:rPr>
          <w:rFonts w:ascii="Arial" w:cs="Arial" w:eastAsia="Arial" w:hAnsi="Arial"/>
          <w:sz w:val="18"/>
          <w:szCs w:val="18"/>
          <w:color w:val="000000"/>
        </w:rPr>
        <w:t xml:space="preserve"> to this Agreement no later than the times specified therein, (b) agree that no Subsidiary of a Loan Party will have a fiscal year different from that of Parent and (c) agree to maintain a system of accounting that enables Borrowers to produce financial statements in accordance with GAAP.</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010000"/>
        </w:rPr>
        <w:t xml:space="preserve">5.2 </w:t>
      </w:r>
      <w:r>
        <w:rPr>
          <w:rFonts w:ascii="Arial" w:cs="Arial" w:eastAsia="Arial" w:hAnsi="Arial"/>
          <w:sz w:val="16"/>
          <w:szCs w:val="16"/>
          <w:b w:val="1"/>
          <w:bCs w:val="1"/>
          <w:u w:val="single" w:color="auto"/>
          <w:color w:val="000000"/>
        </w:rPr>
        <w:t>Reporting</w:t>
      </w:r>
      <w:r>
        <w:rPr>
          <w:rFonts w:ascii="Arial" w:cs="Arial" w:eastAsia="Arial" w:hAnsi="Arial"/>
          <w:sz w:val="16"/>
          <w:szCs w:val="16"/>
          <w:color w:val="000000"/>
        </w:rPr>
        <w:t>. Borrowers (a) will deliver to Agent (and if so requested by Agent, with copies for each Lender) each of the reports set forth</w:t>
      </w:r>
      <w:r>
        <w:rPr>
          <w:rFonts w:ascii="Arial" w:cs="Arial" w:eastAsia="Arial" w:hAnsi="Arial"/>
          <w:sz w:val="16"/>
          <w:szCs w:val="16"/>
          <w:color w:val="010000"/>
        </w:rPr>
        <w:t xml:space="preserve"> </w:t>
      </w:r>
      <w:r>
        <w:rPr>
          <w:rFonts w:ascii="Arial" w:cs="Arial" w:eastAsia="Arial" w:hAnsi="Arial"/>
          <w:sz w:val="16"/>
          <w:szCs w:val="16"/>
          <w:color w:val="000000"/>
        </w:rPr>
        <w:t xml:space="preserve">on </w:t>
      </w:r>
      <w:r>
        <w:rPr>
          <w:rFonts w:ascii="Arial" w:cs="Arial" w:eastAsia="Arial" w:hAnsi="Arial"/>
          <w:sz w:val="16"/>
          <w:szCs w:val="16"/>
          <w:u w:val="single" w:color="auto"/>
          <w:color w:val="000000"/>
        </w:rPr>
        <w:t>Schedule 5.2</w:t>
      </w:r>
      <w:r>
        <w:rPr>
          <w:rFonts w:ascii="Arial" w:cs="Arial" w:eastAsia="Arial" w:hAnsi="Arial"/>
          <w:sz w:val="16"/>
          <w:szCs w:val="16"/>
          <w:color w:val="000000"/>
        </w:rPr>
        <w:t xml:space="preserve"> to this Agreement at the times specified therein, and (b) agree to use commercially reasonable efforts in cooperation with Agent to facilitate and implement a system of electronic collateral reporting in order to provide electronic reporting of each of the items set forth on such Schedule.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jc w:val="both"/>
        <w:ind w:firstLine="648"/>
        <w:spacing w:after="0" w:line="281" w:lineRule="auto"/>
        <w:rPr>
          <w:sz w:val="20"/>
          <w:szCs w:val="20"/>
          <w:color w:val="auto"/>
        </w:rPr>
      </w:pPr>
      <w:r>
        <w:rPr>
          <w:rFonts w:ascii="Arial" w:cs="Arial" w:eastAsia="Arial" w:hAnsi="Arial"/>
          <w:sz w:val="17"/>
          <w:szCs w:val="17"/>
          <w:color w:val="010000"/>
        </w:rPr>
        <w:t xml:space="preserve">5.3 </w:t>
      </w:r>
      <w:r>
        <w:rPr>
          <w:rFonts w:ascii="Arial" w:cs="Arial" w:eastAsia="Arial" w:hAnsi="Arial"/>
          <w:sz w:val="17"/>
          <w:szCs w:val="17"/>
          <w:b w:val="1"/>
          <w:bCs w:val="1"/>
          <w:u w:val="single" w:color="auto"/>
          <w:color w:val="000000"/>
        </w:rPr>
        <w:t>Existence</w:t>
      </w:r>
      <w:r>
        <w:rPr>
          <w:rFonts w:ascii="Arial" w:cs="Arial" w:eastAsia="Arial" w:hAnsi="Arial"/>
          <w:sz w:val="17"/>
          <w:szCs w:val="17"/>
          <w:color w:val="000000"/>
        </w:rPr>
        <w:t>. Except as otherwise permitted under</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6.3</w:t>
      </w:r>
      <w:r>
        <w:rPr>
          <w:rFonts w:ascii="Arial" w:cs="Arial" w:eastAsia="Arial" w:hAnsi="Arial"/>
          <w:sz w:val="17"/>
          <w:szCs w:val="17"/>
          <w:color w:val="010000"/>
        </w:rPr>
        <w:t xml:space="preserve"> </w:t>
      </w:r>
      <w:r>
        <w:rPr>
          <w:rFonts w:ascii="Arial" w:cs="Arial" w:eastAsia="Arial" w:hAnsi="Arial"/>
          <w:sz w:val="17"/>
          <w:szCs w:val="17"/>
          <w:color w:val="000000"/>
        </w:rPr>
        <w:t>or</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6.4</w:t>
      </w:r>
      <w:r>
        <w:rPr>
          <w:rFonts w:ascii="Arial" w:cs="Arial" w:eastAsia="Arial" w:hAnsi="Arial"/>
          <w:sz w:val="17"/>
          <w:szCs w:val="17"/>
          <w:color w:val="000000"/>
        </w:rPr>
        <w:t>, each Loan Party will, and will cause each of its Subsidiaries</w:t>
      </w:r>
      <w:r>
        <w:rPr>
          <w:rFonts w:ascii="Arial" w:cs="Arial" w:eastAsia="Arial" w:hAnsi="Arial"/>
          <w:sz w:val="17"/>
          <w:szCs w:val="17"/>
          <w:color w:val="010000"/>
        </w:rPr>
        <w:t xml:space="preserve"> </w:t>
      </w:r>
      <w:r>
        <w:rPr>
          <w:rFonts w:ascii="Arial" w:cs="Arial" w:eastAsia="Arial" w:hAnsi="Arial"/>
          <w:sz w:val="17"/>
          <w:szCs w:val="17"/>
          <w:color w:val="000000"/>
        </w:rPr>
        <w:t>to, at all times preserve and keep in full force and effect such Person’s valid existence and good standing in its jurisdiction of organization and, except as could not reasonably be expected to result in a Material Adverse Effect, good standing with respect to all other jurisdictions in which it is qualified to do business and any rights, franchises, permits, licenses, accreditations, authorizations, or other approvals material to their businesses.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5.4 </w:t>
      </w:r>
      <w:r>
        <w:rPr>
          <w:rFonts w:ascii="Arial" w:cs="Arial" w:eastAsia="Arial" w:hAnsi="Arial"/>
          <w:sz w:val="18"/>
          <w:szCs w:val="18"/>
          <w:b w:val="1"/>
          <w:bCs w:val="1"/>
          <w:u w:val="single" w:color="auto"/>
          <w:color w:val="000000"/>
        </w:rPr>
        <w:t>Maintenance of Properties</w:t>
      </w:r>
      <w:r>
        <w:rPr>
          <w:rFonts w:ascii="Arial" w:cs="Arial" w:eastAsia="Arial" w:hAnsi="Arial"/>
          <w:sz w:val="18"/>
          <w:szCs w:val="18"/>
          <w:color w:val="000000"/>
        </w:rPr>
        <w:t>. Each Loan Party will, and will cause each of its Subsidiaries to, maintain and preserve all of its assets that</w:t>
      </w:r>
      <w:r>
        <w:rPr>
          <w:rFonts w:ascii="Arial" w:cs="Arial" w:eastAsia="Arial" w:hAnsi="Arial"/>
          <w:sz w:val="18"/>
          <w:szCs w:val="18"/>
          <w:color w:val="010000"/>
        </w:rPr>
        <w:t xml:space="preserve"> </w:t>
      </w:r>
      <w:r>
        <w:rPr>
          <w:rFonts w:ascii="Arial" w:cs="Arial" w:eastAsia="Arial" w:hAnsi="Arial"/>
          <w:sz w:val="18"/>
          <w:szCs w:val="18"/>
          <w:color w:val="000000"/>
        </w:rPr>
        <w:t>are necessary to conduct its business and operations as contemplated as of the Closing Date, in good working order and condition, ordinary wear, tear, casualty, and condemnation and Permitted Dispositions excepted.</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010000"/>
        </w:rPr>
        <w:t xml:space="preserve">5.5 </w:t>
      </w:r>
      <w:r>
        <w:rPr>
          <w:rFonts w:ascii="Arial" w:cs="Arial" w:eastAsia="Arial" w:hAnsi="Arial"/>
          <w:sz w:val="16"/>
          <w:szCs w:val="16"/>
          <w:b w:val="1"/>
          <w:bCs w:val="1"/>
          <w:u w:val="single" w:color="auto"/>
          <w:color w:val="000000"/>
        </w:rPr>
        <w:t>Taxes</w:t>
      </w:r>
      <w:r>
        <w:rPr>
          <w:rFonts w:ascii="Arial" w:cs="Arial" w:eastAsia="Arial" w:hAnsi="Arial"/>
          <w:sz w:val="16"/>
          <w:szCs w:val="16"/>
          <w:color w:val="000000"/>
        </w:rPr>
        <w:t>. Each Loan Party will, and will cause each of its Subsidiaries to, pay in full before delinquency or before the expiration of any</w:t>
      </w:r>
      <w:r>
        <w:rPr>
          <w:rFonts w:ascii="Arial" w:cs="Arial" w:eastAsia="Arial" w:hAnsi="Arial"/>
          <w:sz w:val="16"/>
          <w:szCs w:val="16"/>
          <w:color w:val="010000"/>
        </w:rPr>
        <w:t xml:space="preserve"> </w:t>
      </w:r>
      <w:r>
        <w:rPr>
          <w:rFonts w:ascii="Arial" w:cs="Arial" w:eastAsia="Arial" w:hAnsi="Arial"/>
          <w:sz w:val="16"/>
          <w:szCs w:val="16"/>
          <w:color w:val="000000"/>
        </w:rPr>
        <w:t>extension period all Taxes imposed, levied, or assessed against it, or any of its assets or in respect of any of its income, businesses, or franchises, other than Taxes not in excess of $10,000,000 outstanding at any time and other than to the extent that the validity of such Tax is the subject of a Permitted Protest.</w:t>
      </w:r>
    </w:p>
    <w:p>
      <w:pPr>
        <w:spacing w:after="0" w:line="14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010000"/>
        </w:rPr>
        <w:t xml:space="preserve">5.6 </w:t>
      </w:r>
      <w:r>
        <w:rPr>
          <w:rFonts w:ascii="Arial" w:cs="Arial" w:eastAsia="Arial" w:hAnsi="Arial"/>
          <w:sz w:val="17"/>
          <w:szCs w:val="17"/>
          <w:b w:val="1"/>
          <w:bCs w:val="1"/>
          <w:u w:val="single" w:color="auto"/>
          <w:color w:val="000000"/>
        </w:rPr>
        <w:t>Insurance</w:t>
      </w:r>
      <w:r>
        <w:rPr>
          <w:rFonts w:ascii="Arial" w:cs="Arial" w:eastAsia="Arial" w:hAnsi="Arial"/>
          <w:sz w:val="17"/>
          <w:szCs w:val="17"/>
          <w:color w:val="000000"/>
        </w:rPr>
        <w:t>. Each Loan Party will, or will cause each relevant Lessee to, at Borrowers’ expense, maintain insurance respecting each of</w:t>
      </w:r>
      <w:r>
        <w:rPr>
          <w:rFonts w:ascii="Arial" w:cs="Arial" w:eastAsia="Arial" w:hAnsi="Arial"/>
          <w:sz w:val="17"/>
          <w:szCs w:val="17"/>
          <w:color w:val="010000"/>
        </w:rPr>
        <w:t xml:space="preserve"> </w:t>
      </w:r>
      <w:r>
        <w:rPr>
          <w:rFonts w:ascii="Arial" w:cs="Arial" w:eastAsia="Arial" w:hAnsi="Arial"/>
          <w:sz w:val="17"/>
          <w:szCs w:val="17"/>
          <w:color w:val="000000"/>
        </w:rPr>
        <w:t>each Loan Party’s and its Subsidiaries’ assets wherever located, covering liabilities, losses or damages as are customarily are insured against by other Persons engaged in same or similar businesses and similarly situated and located including, without limitation, the following coverages:</w:t>
      </w:r>
    </w:p>
    <w:p>
      <w:pPr>
        <w:spacing w:after="0" w:line="162" w:lineRule="exact"/>
        <w:rPr>
          <w:sz w:val="20"/>
          <w:szCs w:val="20"/>
          <w:color w:val="auto"/>
        </w:rPr>
      </w:pPr>
    </w:p>
    <w:p>
      <w:pPr>
        <w:jc w:val="both"/>
        <w:ind w:firstLine="1304"/>
        <w:spacing w:after="0" w:line="291" w:lineRule="auto"/>
        <w:tabs>
          <w:tab w:leader="none" w:pos="2269" w:val="left"/>
        </w:tabs>
        <w:numPr>
          <w:ilvl w:val="0"/>
          <w:numId w:val="137"/>
        </w:numPr>
        <w:rPr>
          <w:rFonts w:ascii="Arial" w:cs="Arial" w:eastAsia="Arial" w:hAnsi="Arial"/>
          <w:sz w:val="16"/>
          <w:szCs w:val="16"/>
          <w:color w:val="010000"/>
        </w:rPr>
      </w:pPr>
      <w:r>
        <w:rPr>
          <w:rFonts w:ascii="Arial" w:cs="Arial" w:eastAsia="Arial" w:hAnsi="Arial"/>
          <w:sz w:val="16"/>
          <w:szCs w:val="16"/>
          <w:u w:val="single" w:color="auto"/>
          <w:color w:val="auto"/>
        </w:rPr>
        <w:t>Insurance Covering Aircraft and Engine Equipment</w:t>
      </w:r>
      <w:r>
        <w:rPr>
          <w:rFonts w:ascii="Arial" w:cs="Arial" w:eastAsia="Arial" w:hAnsi="Arial"/>
          <w:sz w:val="16"/>
          <w:szCs w:val="16"/>
          <w:color w:val="auto"/>
        </w:rPr>
        <w:t>. (i) Aircraft hull all risks and aircraft hull war risks insurance in respect of each Whole Aircraft owned or managed by any Borrower (both in flight and on the ground) and (ii) aircraft spare parts insurance (and cause aircraft hull war risks insurance endorsed to cover the foregoing Collateral in respect of Whole Engines not attached to any Whole Aircraft), in each case, on an agreed value basis and (iii) in respect of engine parts and aviation related specialty tools, equipment and ramp/ground handling equipment, in each of clauses (i) and (ii), in an amount not less than one hundred twenty percent (120%) of the aggregate amount of all Revolving Loans made by the Lenders in respect of such aircraft and/or engine and otherwise in conformity with the requirements set forth below subsection (d) hereof and any requirements set forth in any relevant Aircraft Mortgage or Engine Mortgage and in the case of (iii) in an amount equal to the replacement value.</w:t>
      </w:r>
    </w:p>
    <w:p>
      <w:pPr>
        <w:spacing w:after="0" w:line="166" w:lineRule="exact"/>
        <w:rPr>
          <w:rFonts w:ascii="Arial" w:cs="Arial" w:eastAsia="Arial" w:hAnsi="Arial"/>
          <w:sz w:val="16"/>
          <w:szCs w:val="16"/>
          <w:color w:val="010000"/>
        </w:rPr>
      </w:pPr>
    </w:p>
    <w:p>
      <w:pPr>
        <w:jc w:val="both"/>
        <w:ind w:firstLine="1304"/>
        <w:spacing w:after="0" w:line="269" w:lineRule="auto"/>
        <w:tabs>
          <w:tab w:leader="none" w:pos="2549" w:val="left"/>
        </w:tabs>
        <w:numPr>
          <w:ilvl w:val="0"/>
          <w:numId w:val="137"/>
        </w:numPr>
        <w:rPr>
          <w:rFonts w:ascii="Arial" w:cs="Arial" w:eastAsia="Arial" w:hAnsi="Arial"/>
          <w:sz w:val="17"/>
          <w:szCs w:val="17"/>
          <w:color w:val="010000"/>
        </w:rPr>
      </w:pPr>
      <w:r>
        <w:rPr>
          <w:rFonts w:ascii="Arial" w:cs="Arial" w:eastAsia="Arial" w:hAnsi="Arial"/>
          <w:sz w:val="17"/>
          <w:szCs w:val="17"/>
          <w:u w:val="single" w:color="auto"/>
          <w:color w:val="auto"/>
        </w:rPr>
        <w:t>Aircraft and other General Liability</w:t>
      </w:r>
      <w:r>
        <w:rPr>
          <w:rFonts w:ascii="Arial" w:cs="Arial" w:eastAsia="Arial" w:hAnsi="Arial"/>
          <w:sz w:val="17"/>
          <w:szCs w:val="17"/>
          <w:color w:val="auto"/>
        </w:rPr>
        <w:t>. Aircraft third party legal insurance (including, without limitation, bodily injury, property damage, personal injury, passenger legal liability, premises liability, hangar keepers legal liability and products liability and war risk and extended liability coverage in accordance with AVN 52D or AVN 52E) in respect of each Whole Aircraft and each Whole Engine owned or managed by any Borrower and other general aviation liability, in a minimum amount per occurrence and upon such terms and conditions as are customary for similarly situated Borrowers, or, in the case of leased assets, in such amount and on such terms as are customary for operators of similar assets on similar routes and, in each case, acceptable to Agent, acting reasonably, and in accordance with the requirements set forth below subsection (d) hereof and the requirements set forth in any relevant Aircraft Mortgage or Engine Mortgage; provided, that with respect to (i) personal injury coverage, such coverage shall be limited to the higher of Twenty-Five Million Dollars ($25,000,000) with respect to each individual occurrence and in the aggregate or such amount any Borrower, or in the case of a leased asset, the relevant lessee maintains in respect of any similar assets for its portfolio fleet, as applicable, and (ii) products liability coverage, such coverage shall be no less than the higher of Two Hundred Fifty Million Dollars ($250,000,000) with respect to each individual occurrence and in the aggregate or such amount any Borrower, or in the case of a leased asset, the relevant lessee maintains in respect of similar assets for its portfolio fleet, as applicable.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jc w:val="both"/>
        <w:ind w:firstLine="1304"/>
        <w:spacing w:after="0" w:line="257" w:lineRule="auto"/>
        <w:tabs>
          <w:tab w:leader="none" w:pos="2404" w:val="left"/>
        </w:tabs>
        <w:numPr>
          <w:ilvl w:val="0"/>
          <w:numId w:val="138"/>
        </w:numPr>
        <w:rPr>
          <w:rFonts w:ascii="Arial" w:cs="Arial" w:eastAsia="Arial" w:hAnsi="Arial"/>
          <w:sz w:val="18"/>
          <w:szCs w:val="18"/>
          <w:color w:val="010000"/>
        </w:rPr>
      </w:pPr>
      <w:r>
        <w:rPr>
          <w:rFonts w:ascii="Arial" w:cs="Arial" w:eastAsia="Arial" w:hAnsi="Arial"/>
          <w:sz w:val="18"/>
          <w:szCs w:val="18"/>
          <w:u w:val="single" w:color="auto"/>
          <w:color w:val="auto"/>
        </w:rPr>
        <w:t>Leased Whole Aircraft / Whole Engines</w:t>
      </w:r>
      <w:r>
        <w:rPr>
          <w:rFonts w:ascii="Arial" w:cs="Arial" w:eastAsia="Arial" w:hAnsi="Arial"/>
          <w:sz w:val="18"/>
          <w:szCs w:val="18"/>
          <w:color w:val="auto"/>
        </w:rPr>
        <w:t>. In lieu of the requirements of (a) and (b) above, should any Whole Aircraft or Whole Engine owned or managed by any Borrower at any time be subject to a lease, Borrower shall cause the lessee of such Whole Aircraft or Whole Engine to maintain throughout the term of such lease, the insurances described in (a) and (b) above and, in each case, in conformity with the requirements set forth below subsection (d) hereof and with the requirements of any relevant Aircraft Mortgage or Engine Mortgage in respect of such Whole Aircraft or Whole Engine.</w:t>
      </w:r>
    </w:p>
    <w:p>
      <w:pPr>
        <w:spacing w:after="0" w:line="187" w:lineRule="exact"/>
        <w:rPr>
          <w:rFonts w:ascii="Arial" w:cs="Arial" w:eastAsia="Arial" w:hAnsi="Arial"/>
          <w:sz w:val="18"/>
          <w:szCs w:val="18"/>
          <w:color w:val="010000"/>
        </w:rPr>
      </w:pPr>
    </w:p>
    <w:p>
      <w:pPr>
        <w:jc w:val="both"/>
        <w:ind w:firstLine="1304"/>
        <w:spacing w:after="0" w:line="263" w:lineRule="auto"/>
        <w:tabs>
          <w:tab w:leader="none" w:pos="2360" w:val="left"/>
        </w:tabs>
        <w:numPr>
          <w:ilvl w:val="0"/>
          <w:numId w:val="138"/>
        </w:numPr>
        <w:rPr>
          <w:rFonts w:ascii="Arial" w:cs="Arial" w:eastAsia="Arial" w:hAnsi="Arial"/>
          <w:sz w:val="18"/>
          <w:szCs w:val="18"/>
          <w:color w:val="010000"/>
        </w:rPr>
      </w:pPr>
      <w:r>
        <w:rPr>
          <w:rFonts w:ascii="Arial" w:cs="Arial" w:eastAsia="Arial" w:hAnsi="Arial"/>
          <w:sz w:val="18"/>
          <w:szCs w:val="18"/>
          <w:u w:val="single" w:color="auto"/>
          <w:color w:val="auto"/>
        </w:rPr>
        <w:t>Reinsurance</w:t>
      </w:r>
      <w:r>
        <w:rPr>
          <w:rFonts w:ascii="Arial" w:cs="Arial" w:eastAsia="Arial" w:hAnsi="Arial"/>
          <w:sz w:val="18"/>
          <w:szCs w:val="18"/>
          <w:color w:val="auto"/>
        </w:rPr>
        <w:t>. To the extent that any of the insurances described in (a) through (c) above is subject to any risk retention or similar requirement of any relevant jurisdiction, Borrowers shall procure or, as applicable, cause any relevant lessee to procure, reinsurance upon terms reasonably satisfactory to Agent, including, without limitation, an acceptable “cut through” clause.</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All such policies of insurance shall be with financially sound and reputable insurance companies acceptable to Agent in its Permitted Discretion and in such amounts as is carried generally in accordance with sound business practice by companies in similar businesses similarly situated and located and, in any event, in amount, adequacy, and scope reasonably satisfactory to Agent (it being agreed that the amount, adequacy, and scope of the policies of insurance of Borrowers in effect as of the Closing Date are acceptable to Agent). No later than the Closing Date, Borrowers shall deliver insurance certificates to Agent for all insurance policies required above, which shall (i) name Agent and each Lender as an “additional insured” if such policy is a liability policy, (ii) name Agent for itself and on behalf of the Lenders as “contract party” or “loss payee” for all property, hull, or spares policy, and for all insurance required above, (iii) provide that, Agent and each Lender shall be notified in writing by the insurer(s) of any proposed cancellation, termination or material change in respect of such policy, at least thirty (30) days prior to any proposed cancellation, termination or material change and seven (7) days in respect of cancellation for war risk (or such lesser period that may be stated in any automatic termination provision in such policy), (iv) contain a waiver of subrogation in favor of Agent for itself and on behalf of the Lenders; (v) contain a breach of warranty provision in favor of the Agent and Lender; (vi) provide that the insurance shall be primary and without right of contribution from any other insurance which may be available to Agent and Lenders, (vii) provide that Agent and Lenders have no responsibility for premiums, warranties or representations to underwriters, except for such premium that may be directly attributable to a particular aircraft, engine or parts that are subject of a claim. If any Loan Party or its Subsidiaries fails to maintain such insurance, Agent may arrange for such insurance, but at Borrowers’ expense and without any responsibility on Agent’s part for obtaining the insurance, the solvency of the insurance companies, the adequacy of the coverage, or the collection of claims. Borrowers shall give Agent prompt notice of any loss exceeding $10,000,000 covered by the casualty or business interruption insurance of any Loan Party or its Subsidiaries. Upon the occurrence and during the continuance of an Event of Default, Agent shall have the sole right to file claims under any property insurance policies of any loss in respect of the Collateral exceeding $10,000,000,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8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5.7</w:t>
      </w:r>
      <w:r>
        <w:rPr>
          <w:sz w:val="20"/>
          <w:szCs w:val="20"/>
          <w:color w:val="auto"/>
        </w:rPr>
        <w:tab/>
      </w:r>
      <w:r>
        <w:rPr>
          <w:rFonts w:ascii="Arial" w:cs="Arial" w:eastAsia="Arial" w:hAnsi="Arial"/>
          <w:sz w:val="15"/>
          <w:szCs w:val="15"/>
          <w:b w:val="1"/>
          <w:bCs w:val="1"/>
          <w:u w:val="single" w:color="auto"/>
          <w:color w:val="auto"/>
        </w:rPr>
        <w:t>Inspection</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93" w:lineRule="auto"/>
        <w:tabs>
          <w:tab w:leader="none" w:pos="2256" w:val="left"/>
        </w:tabs>
        <w:numPr>
          <w:ilvl w:val="0"/>
          <w:numId w:val="139"/>
        </w:numPr>
        <w:rPr>
          <w:rFonts w:ascii="Arial" w:cs="Arial" w:eastAsia="Arial" w:hAnsi="Arial"/>
          <w:sz w:val="16"/>
          <w:szCs w:val="16"/>
          <w:color w:val="010000"/>
        </w:rPr>
      </w:pPr>
      <w:r>
        <w:rPr>
          <w:rFonts w:ascii="Arial" w:cs="Arial" w:eastAsia="Arial" w:hAnsi="Arial"/>
          <w:sz w:val="16"/>
          <w:szCs w:val="16"/>
          <w:color w:val="auto"/>
        </w:rPr>
        <w:t>Each Loan Party will, and will cause each of its Subsidiaries to, permit Agent, any Lender, and each of their respective duly authorized representatives or agents to visit any of its properties and inspect any of its assets or books and records, to examine and make copies of its books and records, and to discuss its affairs, finances, and accounts with, and to be advised as to the same by, its officers and employees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authorized representative of a Borrower shall be allowed to be present) at such reasonable times and intervals as Agent or any Lender, as applicable, may designate and, so long as no Default or Event of Default has occurred and is continuing, with reasonable prior notice to Borrowers and during regular business hours, at Borrowers’ expense, subject to the limitations set forth below in </w:t>
      </w:r>
      <w:r>
        <w:rPr>
          <w:rFonts w:ascii="Arial" w:cs="Arial" w:eastAsia="Arial" w:hAnsi="Arial"/>
          <w:sz w:val="16"/>
          <w:szCs w:val="16"/>
          <w:u w:val="single" w:color="auto"/>
          <w:color w:val="auto"/>
        </w:rPr>
        <w:t>Sections 5.7(c)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ind w:firstLine="1304"/>
        <w:spacing w:after="0" w:line="263" w:lineRule="auto"/>
        <w:tabs>
          <w:tab w:leader="none" w:pos="2239" w:val="left"/>
        </w:tabs>
        <w:numPr>
          <w:ilvl w:val="0"/>
          <w:numId w:val="140"/>
        </w:numPr>
        <w:rPr>
          <w:rFonts w:ascii="Arial" w:cs="Arial" w:eastAsia="Arial" w:hAnsi="Arial"/>
          <w:sz w:val="18"/>
          <w:szCs w:val="18"/>
          <w:color w:val="010000"/>
        </w:rPr>
      </w:pPr>
      <w:r>
        <w:rPr>
          <w:rFonts w:ascii="Arial" w:cs="Arial" w:eastAsia="Arial" w:hAnsi="Arial"/>
          <w:sz w:val="18"/>
          <w:szCs w:val="18"/>
          <w:color w:val="auto"/>
        </w:rPr>
        <w:t xml:space="preserve">Each Loan Party will, and will cause each of its Subsidiaries to, permit Agent and each of its duly authorized representatives or agents to conduct field examinations, appraisals or valuations at such reasonable times and intervals as Agent may designate, at Borrowers’ expense, subject to the limitations set forth below in </w:t>
      </w:r>
      <w:r>
        <w:rPr>
          <w:rFonts w:ascii="Arial" w:cs="Arial" w:eastAsia="Arial" w:hAnsi="Arial"/>
          <w:sz w:val="18"/>
          <w:szCs w:val="18"/>
          <w:u w:val="single" w:color="auto"/>
          <w:color w:val="auto"/>
        </w:rPr>
        <w:t>Sections 5.7(c)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183" w:lineRule="exact"/>
        <w:rPr>
          <w:rFonts w:ascii="Arial" w:cs="Arial" w:eastAsia="Arial" w:hAnsi="Arial"/>
          <w:sz w:val="18"/>
          <w:szCs w:val="18"/>
          <w:color w:val="010000"/>
        </w:rPr>
      </w:pPr>
    </w:p>
    <w:p>
      <w:pPr>
        <w:jc w:val="both"/>
        <w:ind w:firstLine="1304"/>
        <w:spacing w:after="0" w:line="259" w:lineRule="auto"/>
        <w:tabs>
          <w:tab w:leader="none" w:pos="2499" w:val="left"/>
        </w:tabs>
        <w:numPr>
          <w:ilvl w:val="0"/>
          <w:numId w:val="140"/>
        </w:numPr>
        <w:rPr>
          <w:rFonts w:ascii="Arial" w:cs="Arial" w:eastAsia="Arial" w:hAnsi="Arial"/>
          <w:sz w:val="18"/>
          <w:szCs w:val="18"/>
          <w:color w:val="010000"/>
        </w:rPr>
      </w:pPr>
      <w:r>
        <w:rPr>
          <w:rFonts w:ascii="Arial" w:cs="Arial" w:eastAsia="Arial" w:hAnsi="Arial"/>
          <w:sz w:val="18"/>
          <w:szCs w:val="18"/>
          <w:color w:val="auto"/>
        </w:rPr>
        <w:t>So long as no Event of Default shall have occurred and be continuing during a calendar year, Borrowers shall not be obligated to reimburse Agent for more than one (1) field examination in such calendar year (increasing to two (2) field examinations in such calendar year if an Increased Appraisal Event has occurred during such calendar year (so long as no Event of Default has occurred and is continuing)), except for field examinations conducted in connection with a proposed Permitted Acquisition (whether or not consummated).</w:t>
      </w:r>
    </w:p>
    <w:p>
      <w:pPr>
        <w:spacing w:after="0" w:line="186" w:lineRule="exact"/>
        <w:rPr>
          <w:rFonts w:ascii="Arial" w:cs="Arial" w:eastAsia="Arial" w:hAnsi="Arial"/>
          <w:sz w:val="18"/>
          <w:szCs w:val="18"/>
          <w:color w:val="010000"/>
        </w:rPr>
      </w:pPr>
    </w:p>
    <w:p>
      <w:pPr>
        <w:jc w:val="both"/>
        <w:ind w:firstLine="1304"/>
        <w:spacing w:after="0" w:line="272" w:lineRule="auto"/>
        <w:tabs>
          <w:tab w:leader="none" w:pos="2414" w:val="left"/>
        </w:tabs>
        <w:numPr>
          <w:ilvl w:val="0"/>
          <w:numId w:val="140"/>
        </w:numPr>
        <w:rPr>
          <w:rFonts w:ascii="Arial" w:cs="Arial" w:eastAsia="Arial" w:hAnsi="Arial"/>
          <w:sz w:val="17"/>
          <w:szCs w:val="17"/>
          <w:color w:val="010000"/>
        </w:rPr>
      </w:pPr>
      <w:r>
        <w:rPr>
          <w:rFonts w:ascii="Arial" w:cs="Arial" w:eastAsia="Arial" w:hAnsi="Arial"/>
          <w:sz w:val="17"/>
          <w:szCs w:val="17"/>
          <w:color w:val="auto"/>
        </w:rPr>
        <w:t>Subject to the last sentence of this subsection (d), so long as no Event of Default shall have occurred and be continuing during a calendar year, Borrowers shall not be obligated to reimburse Agent for more than (i) with respect to Whole Aircraft and Whole Engines, one (1) physical appraisal and one (1) desktop appraisal in such calendar year (increasing to three (3) appraisals in the aggregate (whether physical or desktop) if an Increased Appraisal Event has occurred during such calendar year (and so long as no Event of Default has occurred and is continuing)) and (ii) with respect to Parts, one (1) appraisal in such calendar year (increasing to two (2) appraisals if an Increased Appraisal Event has occurred during such calendar year (and so long as no Event of Default has occurred and is continuing)), except, in all cases, for appraisals conducted in connection with a proposed Permitted Acquisition (whether or not consummated).</w:t>
      </w:r>
    </w:p>
    <w:p>
      <w:pPr>
        <w:spacing w:after="0" w:line="17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5.8 </w:t>
      </w:r>
      <w:r>
        <w:rPr>
          <w:rFonts w:ascii="Arial" w:cs="Arial" w:eastAsia="Arial" w:hAnsi="Arial"/>
          <w:sz w:val="18"/>
          <w:szCs w:val="18"/>
          <w:b w:val="1"/>
          <w:bCs w:val="1"/>
          <w:u w:val="single" w:color="auto"/>
          <w:color w:val="000000"/>
        </w:rPr>
        <w:t>Compliance with Laws</w:t>
      </w:r>
      <w:r>
        <w:rPr>
          <w:rFonts w:ascii="Arial" w:cs="Arial" w:eastAsia="Arial" w:hAnsi="Arial"/>
          <w:sz w:val="18"/>
          <w:szCs w:val="18"/>
          <w:color w:val="000000"/>
        </w:rPr>
        <w:t>. Each Loan Party will, and will cause each of its Subsidiaries to, comply with the requirements of all applicable</w:t>
      </w:r>
      <w:r>
        <w:rPr>
          <w:rFonts w:ascii="Arial" w:cs="Arial" w:eastAsia="Arial" w:hAnsi="Arial"/>
          <w:sz w:val="18"/>
          <w:szCs w:val="18"/>
          <w:color w:val="010000"/>
        </w:rPr>
        <w:t xml:space="preserve"> </w:t>
      </w:r>
      <w:r>
        <w:rPr>
          <w:rFonts w:ascii="Arial" w:cs="Arial" w:eastAsia="Arial" w:hAnsi="Arial"/>
          <w:sz w:val="18"/>
          <w:szCs w:val="18"/>
          <w:color w:val="000000"/>
        </w:rPr>
        <w:t>laws, rules, regulations, and orders of any Governmental Authority, other than laws, rules, regulations, and orders the non-compliance with which, individually or in the aggregate, could not reasonably be expected to result in a Material Adverse Effect.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010000"/>
        </w:rPr>
        <w:t xml:space="preserve">5.9 </w:t>
      </w:r>
      <w:r>
        <w:rPr>
          <w:rFonts w:ascii="Arial" w:cs="Arial" w:eastAsia="Arial" w:hAnsi="Arial"/>
          <w:sz w:val="18"/>
          <w:szCs w:val="18"/>
          <w:b w:val="1"/>
          <w:bCs w:val="1"/>
          <w:u w:val="single" w:color="auto"/>
          <w:color w:val="000000"/>
        </w:rPr>
        <w:t>Environmental</w:t>
      </w:r>
      <w:r>
        <w:rPr>
          <w:rFonts w:ascii="Arial" w:cs="Arial" w:eastAsia="Arial" w:hAnsi="Arial"/>
          <w:sz w:val="18"/>
          <w:szCs w:val="18"/>
          <w:color w:val="000000"/>
        </w:rPr>
        <w:t>. Except as could not reasonably be expected to result in a Material Adverse Effect, each Loan Party will, and will cause</w:t>
      </w:r>
      <w:r>
        <w:rPr>
          <w:rFonts w:ascii="Arial" w:cs="Arial" w:eastAsia="Arial" w:hAnsi="Arial"/>
          <w:sz w:val="18"/>
          <w:szCs w:val="18"/>
          <w:color w:val="010000"/>
        </w:rPr>
        <w:t xml:space="preserve"> </w:t>
      </w:r>
      <w:r>
        <w:rPr>
          <w:rFonts w:ascii="Arial" w:cs="Arial" w:eastAsia="Arial" w:hAnsi="Arial"/>
          <w:sz w:val="18"/>
          <w:szCs w:val="18"/>
          <w:color w:val="000000"/>
        </w:rPr>
        <w:t>each of its Subsidiaries to,</w:t>
      </w:r>
    </w:p>
    <w:p>
      <w:pPr>
        <w:spacing w:after="0" w:line="166" w:lineRule="exact"/>
        <w:rPr>
          <w:sz w:val="20"/>
          <w:szCs w:val="20"/>
          <w:color w:val="auto"/>
        </w:rPr>
      </w:pPr>
    </w:p>
    <w:p>
      <w:pPr>
        <w:ind w:right="20" w:firstLine="1304"/>
        <w:spacing w:after="0" w:line="277" w:lineRule="auto"/>
        <w:tabs>
          <w:tab w:leader="none" w:pos="2310" w:val="left"/>
        </w:tabs>
        <w:numPr>
          <w:ilvl w:val="0"/>
          <w:numId w:val="141"/>
        </w:numPr>
        <w:rPr>
          <w:rFonts w:ascii="Arial" w:cs="Arial" w:eastAsia="Arial" w:hAnsi="Arial"/>
          <w:sz w:val="18"/>
          <w:szCs w:val="18"/>
          <w:color w:val="010000"/>
        </w:rPr>
      </w:pPr>
      <w:r>
        <w:rPr>
          <w:rFonts w:ascii="Arial" w:cs="Arial" w:eastAsia="Arial" w:hAnsi="Arial"/>
          <w:sz w:val="18"/>
          <w:szCs w:val="18"/>
          <w:color w:val="auto"/>
        </w:rPr>
        <w:t>Keep any property either owned or operated by any Loan Party or its Subsidiaries free of any Environmental Liens or post bonds or other financial assurances sufficient to satisfy the obligations or liability evidenced by such Environmental Liens,</w:t>
      </w:r>
    </w:p>
    <w:p>
      <w:pPr>
        <w:spacing w:after="0" w:line="170" w:lineRule="exact"/>
        <w:rPr>
          <w:rFonts w:ascii="Arial" w:cs="Arial" w:eastAsia="Arial" w:hAnsi="Arial"/>
          <w:sz w:val="18"/>
          <w:szCs w:val="18"/>
          <w:color w:val="010000"/>
        </w:rPr>
      </w:pPr>
    </w:p>
    <w:p>
      <w:pPr>
        <w:ind w:left="2300" w:hanging="996"/>
        <w:spacing w:after="0"/>
        <w:tabs>
          <w:tab w:leader="none" w:pos="2300" w:val="left"/>
        </w:tabs>
        <w:numPr>
          <w:ilvl w:val="0"/>
          <w:numId w:val="141"/>
        </w:numPr>
        <w:rPr>
          <w:rFonts w:ascii="Arial" w:cs="Arial" w:eastAsia="Arial" w:hAnsi="Arial"/>
          <w:sz w:val="16"/>
          <w:szCs w:val="16"/>
          <w:color w:val="010000"/>
        </w:rPr>
      </w:pPr>
      <w:r>
        <w:rPr>
          <w:rFonts w:ascii="Arial" w:cs="Arial" w:eastAsia="Arial" w:hAnsi="Arial"/>
          <w:sz w:val="16"/>
          <w:szCs w:val="16"/>
          <w:color w:val="auto"/>
        </w:rPr>
        <w:t>Comply, in all material respects, with Environmental Laws and provide to Agent documentation of such compliance which</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Agent reasonably requests,</w:t>
      </w:r>
    </w:p>
    <w:p>
      <w:pPr>
        <w:spacing w:after="0" w:line="210" w:lineRule="exact"/>
        <w:rPr>
          <w:rFonts w:ascii="Arial" w:cs="Arial" w:eastAsia="Arial" w:hAnsi="Arial"/>
          <w:sz w:val="16"/>
          <w:szCs w:val="16"/>
          <w:color w:val="010000"/>
        </w:rPr>
      </w:pPr>
    </w:p>
    <w:p>
      <w:pPr>
        <w:jc w:val="both"/>
        <w:ind w:firstLine="1304"/>
        <w:spacing w:after="0" w:line="263" w:lineRule="auto"/>
        <w:tabs>
          <w:tab w:leader="none" w:pos="2364" w:val="left"/>
        </w:tabs>
        <w:numPr>
          <w:ilvl w:val="0"/>
          <w:numId w:val="141"/>
        </w:numPr>
        <w:rPr>
          <w:rFonts w:ascii="Arial" w:cs="Arial" w:eastAsia="Arial" w:hAnsi="Arial"/>
          <w:sz w:val="18"/>
          <w:szCs w:val="18"/>
          <w:color w:val="010000"/>
        </w:rPr>
      </w:pPr>
      <w:r>
        <w:rPr>
          <w:rFonts w:ascii="Arial" w:cs="Arial" w:eastAsia="Arial" w:hAnsi="Arial"/>
          <w:sz w:val="18"/>
          <w:szCs w:val="18"/>
          <w:color w:val="auto"/>
        </w:rPr>
        <w:t>Promptly notify Agent of any release of which any Loan Party has knowledge of a Hazardous Material in any reportable quantity from or onto property owned or operated by any Loan Party or its Subsidiaries and take any Remedial Actions required to abate said release or otherwise to come into compliance, in all material respects, with applicable Environmental Law, and</w:t>
      </w:r>
    </w:p>
    <w:p>
      <w:pPr>
        <w:spacing w:after="0" w:line="183" w:lineRule="exact"/>
        <w:rPr>
          <w:rFonts w:ascii="Arial" w:cs="Arial" w:eastAsia="Arial" w:hAnsi="Arial"/>
          <w:sz w:val="18"/>
          <w:szCs w:val="18"/>
          <w:color w:val="010000"/>
        </w:rPr>
      </w:pPr>
    </w:p>
    <w:p>
      <w:pPr>
        <w:jc w:val="both"/>
        <w:ind w:firstLine="1304"/>
        <w:spacing w:after="0" w:line="259" w:lineRule="auto"/>
        <w:tabs>
          <w:tab w:leader="none" w:pos="2306" w:val="left"/>
        </w:tabs>
        <w:numPr>
          <w:ilvl w:val="0"/>
          <w:numId w:val="141"/>
        </w:numPr>
        <w:rPr>
          <w:rFonts w:ascii="Arial" w:cs="Arial" w:eastAsia="Arial" w:hAnsi="Arial"/>
          <w:sz w:val="18"/>
          <w:szCs w:val="18"/>
          <w:color w:val="010000"/>
        </w:rPr>
      </w:pPr>
      <w:r>
        <w:rPr>
          <w:rFonts w:ascii="Arial" w:cs="Arial" w:eastAsia="Arial" w:hAnsi="Arial"/>
          <w:sz w:val="18"/>
          <w:szCs w:val="18"/>
          <w:color w:val="auto"/>
        </w:rPr>
        <w:t>Promptly, but in any event within five Business Days of its receipt thereof, provide Agent with written notice of any of the following: (i) notice that an Environmental Lien has been filed against any of the real or personal property of a Loan Party or its Subsidiaries, (ii) commencement of any Environmental Action or written notice that an Environmental Action will be filed against a Loan Party or its Subsidiaries, and (iii) written notice of a violation, citation, or other administrative order from a Governmental Authority.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jc w:val="both"/>
        <w:ind w:firstLine="648"/>
        <w:spacing w:after="0" w:line="256" w:lineRule="auto"/>
        <w:rPr>
          <w:sz w:val="20"/>
          <w:szCs w:val="20"/>
          <w:color w:val="auto"/>
        </w:rPr>
      </w:pPr>
      <w:r>
        <w:rPr>
          <w:rFonts w:ascii="Arial" w:cs="Arial" w:eastAsia="Arial" w:hAnsi="Arial"/>
          <w:sz w:val="18"/>
          <w:szCs w:val="18"/>
          <w:color w:val="010000"/>
        </w:rPr>
        <w:t xml:space="preserve">5.10 </w:t>
      </w:r>
      <w:r>
        <w:rPr>
          <w:rFonts w:ascii="Arial" w:cs="Arial" w:eastAsia="Arial" w:hAnsi="Arial"/>
          <w:sz w:val="18"/>
          <w:szCs w:val="18"/>
          <w:b w:val="1"/>
          <w:bCs w:val="1"/>
          <w:u w:val="single" w:color="auto"/>
          <w:color w:val="000000"/>
        </w:rPr>
        <w:t>Disclosure Updates</w:t>
      </w:r>
      <w:r>
        <w:rPr>
          <w:rFonts w:ascii="Arial" w:cs="Arial" w:eastAsia="Arial" w:hAnsi="Arial"/>
          <w:sz w:val="18"/>
          <w:szCs w:val="18"/>
          <w:color w:val="000000"/>
        </w:rPr>
        <w:t>. Each Loan Party will, promptly and in no event later than five Business Days after obtaining knowledge thereof,</w:t>
      </w:r>
      <w:r>
        <w:rPr>
          <w:rFonts w:ascii="Arial" w:cs="Arial" w:eastAsia="Arial" w:hAnsi="Arial"/>
          <w:sz w:val="18"/>
          <w:szCs w:val="18"/>
          <w:color w:val="010000"/>
        </w:rPr>
        <w:t xml:space="preserve"> </w:t>
      </w:r>
      <w:r>
        <w:rPr>
          <w:rFonts w:ascii="Arial" w:cs="Arial" w:eastAsia="Arial" w:hAnsi="Arial"/>
          <w:sz w:val="18"/>
          <w:szCs w:val="18"/>
          <w:color w:val="000000"/>
        </w:rPr>
        <w:t>notify Agent if any written information, exhibit, or report furnished to Agent or the Lenders contained, at the time it was furnished, any untrue statement of a material fact or omitted to state any material fact necessary to make the statements contained therein not misleading in light of the circumstances in which made. The foregoing to the contrary notwithstanding, any notification pursuant to the foregoing provision will not cure or remedy the effect of the prior untrue statement of a material fact or omission of any material fact nor shall any such notification have the effect of amending or modifying this Agreement or any of the Schedules hereto.</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010000"/>
        </w:rPr>
        <w:t xml:space="preserve">5.11 </w:t>
      </w:r>
      <w:r>
        <w:rPr>
          <w:rFonts w:ascii="Arial" w:cs="Arial" w:eastAsia="Arial" w:hAnsi="Arial"/>
          <w:sz w:val="16"/>
          <w:szCs w:val="16"/>
          <w:b w:val="1"/>
          <w:bCs w:val="1"/>
          <w:u w:val="single" w:color="auto"/>
          <w:color w:val="000000"/>
        </w:rPr>
        <w:t>Formation of Subsidiaries</w:t>
      </w:r>
      <w:r>
        <w:rPr>
          <w:rFonts w:ascii="Arial" w:cs="Arial" w:eastAsia="Arial" w:hAnsi="Arial"/>
          <w:sz w:val="16"/>
          <w:szCs w:val="16"/>
          <w:color w:val="000000"/>
        </w:rPr>
        <w:t>. Each Loan Party will, at the time that any Loan Party forms any direct or indirect Subsidiary, acquires any</w:t>
      </w:r>
      <w:r>
        <w:rPr>
          <w:rFonts w:ascii="Arial" w:cs="Arial" w:eastAsia="Arial" w:hAnsi="Arial"/>
          <w:sz w:val="16"/>
          <w:szCs w:val="16"/>
          <w:color w:val="010000"/>
        </w:rPr>
        <w:t xml:space="preserve"> </w:t>
      </w:r>
      <w:r>
        <w:rPr>
          <w:rFonts w:ascii="Arial" w:cs="Arial" w:eastAsia="Arial" w:hAnsi="Arial"/>
          <w:sz w:val="16"/>
          <w:szCs w:val="16"/>
          <w:color w:val="000000"/>
        </w:rPr>
        <w:t>direct or indirect Subsidiary after the Closing Date, or at any time when any direct or indirect Subsidiary of a Loan Party that previously was an Immaterial Subsidiary becomes a Material Subsidiary, or at any time when any Whole Aircraft or Whole Engine becomes an asset of a direct or indirect Subsidiary of a Loan Party that is not a Loan Party, within fifteen (15) Business Days of such event (or such later date as permitted by Agent in its sole discretion) (a) unless such Subsidiary is an Excluded Subsidiary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 newly acquired Subsidiary shall be an Unrestricted Subsidiary upon such acquisition, but may subsequently be designated as such in accordance with </w:t>
      </w:r>
      <w:r>
        <w:rPr>
          <w:rFonts w:ascii="Arial" w:cs="Arial" w:eastAsia="Arial" w:hAnsi="Arial"/>
          <w:sz w:val="16"/>
          <w:szCs w:val="16"/>
          <w:u w:val="single" w:color="auto"/>
          <w:color w:val="000000"/>
        </w:rPr>
        <w:t>Section 5.18</w:t>
      </w:r>
      <w:r>
        <w:rPr>
          <w:rFonts w:ascii="Arial" w:cs="Arial" w:eastAsia="Arial" w:hAnsi="Arial"/>
          <w:sz w:val="16"/>
          <w:szCs w:val="16"/>
          <w:color w:val="000000"/>
        </w:rPr>
        <w:t xml:space="preserve">), cause such new Subsidiary (i) if Administrative Borrower requests (including by requesting that assets owned by such Subsidiary be included in the Borrowing Base), subject to the consent of Agent, that such Subsidiary be joined as a Borrower hereunder, to provide to Agent a Joinder to this Agreement, (ii) to provide to Agent a joinder to the Guaranty and Security Agreement, in each case, together with such other security agreements (including satisfaction of the Perfection Requirements or Limited Perfection Requirements, as applicable, pursuant to the Guaranty and Security Agreement, with respect to any Whole Aircraft or Whole Engines owned by such new Subsidiary and delivery of Mortgages with respect to any Real Property owned in fee of such new Subsidiary constituting Real Property Collateral), as well as appropriate financing statements (and with respect to all property subject to a Mortgage, fixture filings), all in form and substance reasonably satisfactory to Agent (including being sufficient to grant Agent a first priority Lien (subject to Permitted Liens) in and to the assets of such newly formed or acquired Subsidiary) and to comply with the provisions of </w:t>
      </w:r>
      <w:r>
        <w:rPr>
          <w:rFonts w:ascii="Arial" w:cs="Arial" w:eastAsia="Arial" w:hAnsi="Arial"/>
          <w:sz w:val="16"/>
          <w:szCs w:val="16"/>
          <w:u w:val="single" w:color="auto"/>
          <w:color w:val="000000"/>
        </w:rPr>
        <w:t>Section 5.17</w:t>
      </w:r>
      <w:r>
        <w:rPr>
          <w:rFonts w:ascii="Arial" w:cs="Arial" w:eastAsia="Arial" w:hAnsi="Arial"/>
          <w:sz w:val="16"/>
          <w:szCs w:val="16"/>
          <w:color w:val="000000"/>
        </w:rPr>
        <w:t xml:space="preserve"> below, as applicable, (b) provide, or cause the applicable Loan Party to provide, to Agent a pledge agreement (or an addendum to the Guaranty and Security Agreement) and appropriate certificates and powers or financing statements, pledging all of the direct or beneficial ownership interest in such new Subsidiary in form and substance reasonably satisfactory to Agent;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solely with respect to any such new Subsidiary that (i) is a Foreign Subsidiary and is a first tier Subsidiary of a Loan Party or (ii) is a CFC, and, in each case, is not joined or to be joined as a Borrower or other Loan Party hereunder, only 65% of the total outstanding voting Equity Interests of such new Foreign Subsidiary (and none of the Equity Interests of any Subsidiary of such new Foreign Subsidiary) shall be required to be pledged if pledging a greater amount would result in adverse tax consequences or the costs to the Loan Parties of providing such pledge are unreasonably excessive (as determined by Agent in consultation with Borrowers) in relation to the benefits to Agent and the Lenders of the security afforded thereby (which pledge, if reasonably requested by Agent, shall be governed by the laws of the jurisdiction of such Subsidiary), and (c) provide to Agent all other documentation, including the Governing Documents of such Subsidiary and upon request, one or more opinions of counsel reasonably satisfactory to Agent, which, in its opinion, is appropriate with respect to the execution and delivery of the applicable documentation referred to above (including policies of title insurance, flood certification documentation or other documentation with respect to all Real Property owned in fee and subject to a Mortgage). Any document, agreement, or instrument executed or issued pursuant to this </w:t>
      </w:r>
      <w:r>
        <w:rPr>
          <w:rFonts w:ascii="Arial" w:cs="Arial" w:eastAsia="Arial" w:hAnsi="Arial"/>
          <w:sz w:val="16"/>
          <w:szCs w:val="16"/>
          <w:u w:val="single" w:color="auto"/>
          <w:color w:val="000000"/>
        </w:rPr>
        <w:t>Section 5.11</w:t>
      </w:r>
      <w:r>
        <w:rPr>
          <w:rFonts w:ascii="Arial" w:cs="Arial" w:eastAsia="Arial" w:hAnsi="Arial"/>
          <w:sz w:val="16"/>
          <w:szCs w:val="16"/>
          <w:color w:val="000000"/>
        </w:rPr>
        <w:t xml:space="preserve"> shall constitute a Loan Document.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ind w:left="660"/>
        <w:spacing w:after="0"/>
        <w:tabs>
          <w:tab w:leader="none" w:pos="1360" w:val="left"/>
        </w:tabs>
        <w:rPr>
          <w:sz w:val="20"/>
          <w:szCs w:val="20"/>
          <w:color w:val="auto"/>
        </w:rPr>
      </w:pPr>
      <w:r>
        <w:rPr>
          <w:rFonts w:ascii="Arial" w:cs="Arial" w:eastAsia="Arial" w:hAnsi="Arial"/>
          <w:sz w:val="18"/>
          <w:szCs w:val="18"/>
          <w:color w:val="010000"/>
        </w:rPr>
        <w:t>5.12</w:t>
      </w:r>
      <w:r>
        <w:rPr>
          <w:sz w:val="20"/>
          <w:szCs w:val="20"/>
          <w:color w:val="auto"/>
        </w:rPr>
        <w:tab/>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85" w:lineRule="auto"/>
        <w:tabs>
          <w:tab w:leader="none" w:pos="2229" w:val="left"/>
        </w:tabs>
        <w:numPr>
          <w:ilvl w:val="0"/>
          <w:numId w:val="142"/>
        </w:numPr>
        <w:rPr>
          <w:rFonts w:ascii="Arial" w:cs="Arial" w:eastAsia="Arial" w:hAnsi="Arial"/>
          <w:sz w:val="16"/>
          <w:szCs w:val="16"/>
          <w:color w:val="010000"/>
        </w:rPr>
      </w:pPr>
      <w:r>
        <w:rPr>
          <w:rFonts w:ascii="Arial" w:cs="Arial" w:eastAsia="Arial" w:hAnsi="Arial"/>
          <w:sz w:val="16"/>
          <w:szCs w:val="16"/>
          <w:u w:val="single" w:color="auto"/>
          <w:color w:val="auto"/>
        </w:rPr>
        <w:t>Generally</w:t>
      </w:r>
      <w:r>
        <w:rPr>
          <w:rFonts w:ascii="Arial" w:cs="Arial" w:eastAsia="Arial" w:hAnsi="Arial"/>
          <w:sz w:val="16"/>
          <w:szCs w:val="16"/>
          <w:color w:val="auto"/>
        </w:rPr>
        <w:t>. Each Loan Party will, and will cause each of the other Loan Parties to, at any time upon the reasonable request of Agent, execute or deliver to Agent any and all financing statements, fixture filings, security agreements, pledges, assignments, mortgages, deeds of trust, opinions of counsel, and all other documents (the “</w:t>
      </w:r>
      <w:r>
        <w:rPr>
          <w:rFonts w:ascii="Arial" w:cs="Arial" w:eastAsia="Arial" w:hAnsi="Arial"/>
          <w:sz w:val="16"/>
          <w:szCs w:val="16"/>
          <w:u w:val="single" w:color="auto"/>
          <w:color w:val="auto"/>
        </w:rPr>
        <w:t>Additional Documents</w:t>
      </w:r>
      <w:r>
        <w:rPr>
          <w:rFonts w:ascii="Arial" w:cs="Arial" w:eastAsia="Arial" w:hAnsi="Arial"/>
          <w:sz w:val="16"/>
          <w:szCs w:val="16"/>
          <w:color w:val="auto"/>
        </w:rPr>
        <w:t xml:space="preserve">”) that Agent may reasonably request in form and substance reasonably satisfactory to Agent, to create, perfect, and continue perfected or to better perfect Agent’s Liens in all of the assets of each of the Loan Parties (whether now owned or hereafter arising or acquired, tangible or intangible, real or personal) (other than any assets expressly excluded from the Collateral (as defined in the Guaranty and Security Agreement) pursuant to Section 3 of the Guaranty and Security Agreement), to create and perfect Liens in favor of Agent in any Real Property Collateral acquired by any other Loan Party, and in order to fully consummate all of the transactions contemplated hereby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apply to any Subsidiary of a Loan Party that is a CFC, if providing such documents would result in adverse tax consequences or the costs to the Loan Parties of providing such documents are unreasonably excessive (as determined by Agent in consultation with Borrowers) in relation to the benefits to Agent and the Lenders of the security afforded thereby. To the maximum extent permitted by applicable law, if any Borrower or any other Loan Party refuses or fails to execute or deliver any reasonably requested Additional Documents within a reasonable period of time not to exceed 5 Business Days following the request to do so, each Borrower and each other Loan Party hereby authorizes Agent to execute any such Additional Documents in the applicable Loan Party’s name and authorizes Agent to file such executed Additional Documents in any appropriate filing office. In furtherance of, and not in limitation of, the foregoing, each Loan Party shall take such actions as Agent may reasonably request from time to time to ensure that the Obligations are guaranteed by the Guarantors and are secured by substantially all of the assets of the Loan Parties, including all of the outstanding capital Equity Interests of each Borrower and its Subsidiaries (in each case, other than with respect to any assets expressly excluded from the Collateral (as defined in the Guaranty and Security Agreement) pursuant to Section 3 of the Guaranty and Security Agreement).</w:t>
      </w:r>
    </w:p>
    <w:p>
      <w:pPr>
        <w:spacing w:after="0" w:line="173" w:lineRule="exact"/>
        <w:rPr>
          <w:rFonts w:ascii="Arial" w:cs="Arial" w:eastAsia="Arial" w:hAnsi="Arial"/>
          <w:sz w:val="16"/>
          <w:szCs w:val="16"/>
          <w:color w:val="010000"/>
        </w:rPr>
      </w:pPr>
    </w:p>
    <w:p>
      <w:pPr>
        <w:jc w:val="both"/>
        <w:ind w:firstLine="1304"/>
        <w:spacing w:after="0" w:line="296" w:lineRule="auto"/>
        <w:tabs>
          <w:tab w:leader="none" w:pos="2482" w:val="left"/>
        </w:tabs>
        <w:numPr>
          <w:ilvl w:val="0"/>
          <w:numId w:val="142"/>
        </w:numPr>
        <w:rPr>
          <w:rFonts w:ascii="Arial" w:cs="Arial" w:eastAsia="Arial" w:hAnsi="Arial"/>
          <w:sz w:val="16"/>
          <w:szCs w:val="16"/>
          <w:color w:val="010000"/>
        </w:rPr>
      </w:pPr>
      <w:r>
        <w:rPr>
          <w:rFonts w:ascii="Arial" w:cs="Arial" w:eastAsia="Arial" w:hAnsi="Arial"/>
          <w:sz w:val="16"/>
          <w:szCs w:val="16"/>
          <w:u w:val="single" w:color="auto"/>
          <w:color w:val="auto"/>
        </w:rPr>
        <w:t>Agreements Regarding Certain Collateral</w:t>
      </w:r>
      <w:r>
        <w:rPr>
          <w:rFonts w:ascii="Arial" w:cs="Arial" w:eastAsia="Arial" w:hAnsi="Arial"/>
          <w:sz w:val="16"/>
          <w:szCs w:val="16"/>
          <w:color w:val="auto"/>
        </w:rPr>
        <w:t>. To the extent permitted hereunder, if any Borrower applies proceeds of any Revolving Loan to acquire an interest in any Whole Aircraft or Whole Engine after the Closing Date, Borrowers shall, promptly after such acquisition, take all actions required to comply with: (i) the Perfection Requirements, with respect to each Whole Aircraft and each Whole Engine that will comprise Eligible Whole Aircraft Collateral or Eligible Whole Engine Collateral, respectively, or (ii) the Limited Perfection Requirements, with respect to each Whole Aircraft and each Whole Engine that will not comprise Eligible Whole Aircraft Collateral or Eligible Whole Engine Collateral, respectively.</w:t>
      </w:r>
    </w:p>
    <w:p>
      <w:pPr>
        <w:spacing w:after="0" w:line="15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010000"/>
        </w:rPr>
        <w:t xml:space="preserve">5.13 </w:t>
      </w:r>
      <w:r>
        <w:rPr>
          <w:rFonts w:ascii="Arial" w:cs="Arial" w:eastAsia="Arial" w:hAnsi="Arial"/>
          <w:sz w:val="17"/>
          <w:szCs w:val="17"/>
          <w:b w:val="1"/>
          <w:bCs w:val="1"/>
          <w:u w:val="single" w:color="auto"/>
          <w:color w:val="000000"/>
        </w:rPr>
        <w:t>Lender Meetings</w:t>
      </w:r>
      <w:r>
        <w:rPr>
          <w:rFonts w:ascii="Arial" w:cs="Arial" w:eastAsia="Arial" w:hAnsi="Arial"/>
          <w:sz w:val="17"/>
          <w:szCs w:val="17"/>
          <w:color w:val="000000"/>
        </w:rPr>
        <w:t>. Borrowers will, within 130 days after the close of each fiscal year of Parent, at the request of Agent or of the</w:t>
      </w:r>
      <w:r>
        <w:rPr>
          <w:rFonts w:ascii="Arial" w:cs="Arial" w:eastAsia="Arial" w:hAnsi="Arial"/>
          <w:sz w:val="17"/>
          <w:szCs w:val="17"/>
          <w:color w:val="010000"/>
        </w:rPr>
        <w:t xml:space="preserve"> </w:t>
      </w:r>
      <w:r>
        <w:rPr>
          <w:rFonts w:ascii="Arial" w:cs="Arial" w:eastAsia="Arial" w:hAnsi="Arial"/>
          <w:sz w:val="17"/>
          <w:szCs w:val="17"/>
          <w:color w:val="000000"/>
        </w:rPr>
        <w:t>Required Lenders and upon reasonable prior notice, hold a meeting (at a mutually agreeable location and time or, at the option of Agent, by conference call) with all Lenders who choose to attend such meeting at which meeting shall be reviewed the financial results of the previous fiscal year and the financial condition of the Loan Parties and their Subsidiaries and the projections presented for the current fiscal year of Parent.</w:t>
      </w:r>
    </w:p>
    <w:p>
      <w:pPr>
        <w:spacing w:after="0" w:line="16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010000"/>
        </w:rPr>
        <w:t xml:space="preserve">5.14 </w:t>
      </w:r>
      <w:r>
        <w:rPr>
          <w:rFonts w:ascii="Arial" w:cs="Arial" w:eastAsia="Arial" w:hAnsi="Arial"/>
          <w:sz w:val="18"/>
          <w:szCs w:val="18"/>
          <w:b w:val="1"/>
          <w:bCs w:val="1"/>
          <w:u w:val="single" w:color="auto"/>
          <w:color w:val="000000"/>
        </w:rPr>
        <w:t>Chief Executive Offices</w:t>
      </w:r>
      <w:r>
        <w:rPr>
          <w:rFonts w:ascii="Arial" w:cs="Arial" w:eastAsia="Arial" w:hAnsi="Arial"/>
          <w:sz w:val="18"/>
          <w:szCs w:val="18"/>
          <w:color w:val="000000"/>
        </w:rPr>
        <w:t>. Each Loan Party will, and will cause each of its Subsidiaries to, keep its and their respective chief executive</w:t>
      </w:r>
      <w:r>
        <w:rPr>
          <w:rFonts w:ascii="Arial" w:cs="Arial" w:eastAsia="Arial" w:hAnsi="Arial"/>
          <w:sz w:val="18"/>
          <w:szCs w:val="18"/>
          <w:color w:val="010000"/>
        </w:rPr>
        <w:t xml:space="preserve"> </w:t>
      </w:r>
      <w:r>
        <w:rPr>
          <w:rFonts w:ascii="Arial" w:cs="Arial" w:eastAsia="Arial" w:hAnsi="Arial"/>
          <w:sz w:val="18"/>
          <w:szCs w:val="18"/>
          <w:color w:val="000000"/>
        </w:rPr>
        <w:t>offices only at the locations identified on Schedule 7 to the Guaranty and Security Agreement.</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010000"/>
        </w:rPr>
        <w:t xml:space="preserve">5.15 </w:t>
      </w:r>
      <w:r>
        <w:rPr>
          <w:rFonts w:ascii="Arial" w:cs="Arial" w:eastAsia="Arial" w:hAnsi="Arial"/>
          <w:sz w:val="16"/>
          <w:szCs w:val="16"/>
          <w:b w:val="1"/>
          <w:bCs w:val="1"/>
          <w:u w:val="single" w:color="auto"/>
          <w:color w:val="000000"/>
        </w:rPr>
        <w:t>OFAC; Sanctions; Anti-Corruption Laws; Anti-Money Laundering Laws</w:t>
      </w:r>
      <w:r>
        <w:rPr>
          <w:rFonts w:ascii="Arial" w:cs="Arial" w:eastAsia="Arial" w:hAnsi="Arial"/>
          <w:sz w:val="16"/>
          <w:szCs w:val="16"/>
          <w:color w:val="000000"/>
        </w:rPr>
        <w:t>. Each Loan Party will, and will cause each of its</w:t>
      </w:r>
      <w:r>
        <w:rPr>
          <w:rFonts w:ascii="Arial" w:cs="Arial" w:eastAsia="Arial" w:hAnsi="Arial"/>
          <w:sz w:val="16"/>
          <w:szCs w:val="16"/>
          <w:color w:val="010000"/>
        </w:rPr>
        <w:t xml:space="preserve"> </w:t>
      </w:r>
      <w:r>
        <w:rPr>
          <w:rFonts w:ascii="Arial" w:cs="Arial" w:eastAsia="Arial" w:hAnsi="Arial"/>
          <w:sz w:val="16"/>
          <w:szCs w:val="16"/>
          <w:color w:val="000000"/>
        </w:rPr>
        <w:t>Subsidiaries to comply with all applicable Sanctions, Anti-Corruption Laws and Anti-Money Laundering Laws. Each of the Loan Parties and its Subsidiaries shall implement and maintain in effect policies and procedures designed to ensure compliance by the Loan Parties and their Subsidiaries and their respective directors, officers, employees, agents and Affiliates with all Sanctions, Anti-Corruption Laws and Anti-Money Laundering Laws. Each of the Loan Parties shall and shall cause their respective Subsidiaries to comply with all Sanctions, Anti-Corruption Laws and Anti-Money Laundering Laws.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both"/>
        <w:ind w:firstLine="648"/>
        <w:spacing w:after="0" w:line="282" w:lineRule="auto"/>
        <w:rPr>
          <w:sz w:val="20"/>
          <w:szCs w:val="20"/>
          <w:color w:val="auto"/>
        </w:rPr>
      </w:pPr>
      <w:r>
        <w:rPr>
          <w:rFonts w:ascii="Arial" w:cs="Arial" w:eastAsia="Arial" w:hAnsi="Arial"/>
          <w:sz w:val="18"/>
          <w:szCs w:val="18"/>
          <w:color w:val="010000"/>
        </w:rPr>
        <w:t xml:space="preserve">5.16 </w:t>
      </w:r>
      <w:r>
        <w:rPr>
          <w:rFonts w:ascii="Arial" w:cs="Arial" w:eastAsia="Arial" w:hAnsi="Arial"/>
          <w:sz w:val="18"/>
          <w:szCs w:val="18"/>
          <w:b w:val="1"/>
          <w:bCs w:val="1"/>
          <w:u w:val="single" w:color="auto"/>
          <w:color w:val="000000"/>
        </w:rPr>
        <w:t>Material Contracts</w:t>
      </w:r>
      <w:r>
        <w:rPr>
          <w:rFonts w:ascii="Arial" w:cs="Arial" w:eastAsia="Arial" w:hAnsi="Arial"/>
          <w:sz w:val="18"/>
          <w:szCs w:val="18"/>
          <w:color w:val="000000"/>
        </w:rPr>
        <w:t>. Upon request, Borrowers will provide Agent with copies of (a) each Material Contract entered into since the</w:t>
      </w:r>
      <w:r>
        <w:rPr>
          <w:rFonts w:ascii="Arial" w:cs="Arial" w:eastAsia="Arial" w:hAnsi="Arial"/>
          <w:sz w:val="18"/>
          <w:szCs w:val="18"/>
          <w:color w:val="010000"/>
        </w:rPr>
        <w:t xml:space="preserve"> </w:t>
      </w:r>
      <w:r>
        <w:rPr>
          <w:rFonts w:ascii="Arial" w:cs="Arial" w:eastAsia="Arial" w:hAnsi="Arial"/>
          <w:sz w:val="18"/>
          <w:szCs w:val="18"/>
          <w:color w:val="000000"/>
        </w:rPr>
        <w:t>Closing Date and (b) each material amendment or modification of any Material Contract entered into since the Closing Date.</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5.17</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010000"/>
        </w:rPr>
        <w:t xml:space="preserve">5.18 </w:t>
      </w:r>
      <w:r>
        <w:rPr>
          <w:rFonts w:ascii="Arial" w:cs="Arial" w:eastAsia="Arial" w:hAnsi="Arial"/>
          <w:sz w:val="16"/>
          <w:szCs w:val="16"/>
          <w:b w:val="1"/>
          <w:bCs w:val="1"/>
          <w:u w:val="single" w:color="auto"/>
          <w:color w:val="000000"/>
        </w:rPr>
        <w:t>Designation of Subsidiaries</w:t>
      </w:r>
      <w:r>
        <w:rPr>
          <w:rFonts w:ascii="Arial" w:cs="Arial" w:eastAsia="Arial" w:hAnsi="Arial"/>
          <w:sz w:val="16"/>
          <w:szCs w:val="16"/>
          <w:color w:val="000000"/>
        </w:rPr>
        <w:t>. A Borrower may at any time designate any Restricted Subsidiary as an Unrestricted Subsidiary or</w:t>
      </w:r>
      <w:r>
        <w:rPr>
          <w:rFonts w:ascii="Arial" w:cs="Arial" w:eastAsia="Arial" w:hAnsi="Arial"/>
          <w:sz w:val="16"/>
          <w:szCs w:val="16"/>
          <w:color w:val="010000"/>
        </w:rPr>
        <w:t xml:space="preserve"> </w:t>
      </w:r>
      <w:r>
        <w:rPr>
          <w:rFonts w:ascii="Arial" w:cs="Arial" w:eastAsia="Arial" w:hAnsi="Arial"/>
          <w:sz w:val="16"/>
          <w:szCs w:val="16"/>
          <w:color w:val="000000"/>
        </w:rPr>
        <w:t xml:space="preserve">designate (or re-designate, as the case may be) any Unrestricted Subsidiary as a Restricted Subsidiary;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immediately before and after such designation (or re-designation), no Default shall have occurred and be continuing, (ii) no Borrower may be designated as an Unrestricted Subsidiary, (iii) no Unrestricted Subsidiary shall own any Equity Interests in any Restricted Subsidiary, (iv) no Unrestricted Subsidiary shall hold any Indebtedness of, or any Lien on any property of, any Borrower or any Restricted Subsidiary, (v) no Unrestricted Subsidiary shall be a party to any transaction or arrangement with any Borrower or any of its Restricted Subsidiaries that would not be permitted by </w:t>
      </w:r>
      <w:r>
        <w:rPr>
          <w:rFonts w:ascii="Arial" w:cs="Arial" w:eastAsia="Arial" w:hAnsi="Arial"/>
          <w:sz w:val="16"/>
          <w:szCs w:val="16"/>
          <w:u w:val="single" w:color="auto"/>
          <w:color w:val="000000"/>
        </w:rPr>
        <w:t>Section 6.10</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6.15</w:t>
      </w:r>
      <w:r>
        <w:rPr>
          <w:rFonts w:ascii="Arial" w:cs="Arial" w:eastAsia="Arial" w:hAnsi="Arial"/>
          <w:sz w:val="16"/>
          <w:szCs w:val="16"/>
          <w:color w:val="000000"/>
        </w:rPr>
        <w:t xml:space="preserve">, (vi) none of Parent or any of its Restricted Subsidiaries shall have any obligation to subscribe for additional Equity Interests of any Unrestricted Subsidiary or to preserve or maintain the financial condition of any Unrestricted Subsidiary and (vii) such designation shall be permitted by </w:t>
      </w:r>
      <w:r>
        <w:rPr>
          <w:rFonts w:ascii="Arial" w:cs="Arial" w:eastAsia="Arial" w:hAnsi="Arial"/>
          <w:sz w:val="16"/>
          <w:szCs w:val="16"/>
          <w:u w:val="single" w:color="auto"/>
          <w:color w:val="000000"/>
        </w:rPr>
        <w:t>Section 6.15</w:t>
      </w:r>
      <w:r>
        <w:rPr>
          <w:rFonts w:ascii="Arial" w:cs="Arial" w:eastAsia="Arial" w:hAnsi="Arial"/>
          <w:sz w:val="16"/>
          <w:szCs w:val="16"/>
          <w:color w:val="000000"/>
        </w:rPr>
        <w:t>. The designation of any Subsidiary as an Unrestricted Subsidiary shall constitute an Investment by a Borrower or its Restricted Subsidiary therein at the date of designation in an amount equal to the fair market value of a Borrower’s or such Restricted Subsidiary’s (as applicable) Investment therein (provided that, with respect to assets owned by such Subsidiary at the time of such designation, such Investment shall be deemed to be an Investment of such assets in an amount equal to the fair market value thereof and any Investments such Restricted Subsidiary is contractually obligated to make after such designation, together with the incurrence at the time of designation of any Indebtedness of such Subsidiary existing at such time. The designation of any Unrestricted Subsidiary as a Restricted Subsidiary shall constitute the incurrence at the time of designation of any Indebtedness and Liens of such Subsidiary existing at such time and a return on any Investment by a Borrower or such Restricted Subsidiary in Unrestricted Subsidiaries pursuant to the preceding sentence in an amount equal to the fair market value at the date of such designation of a Borrower’s or its Restricted Subsidiary’s (as applicable) Investment in such Subsidiary. Each Loan Party shall cause each of the Restricted Subsidiaries and Unrestricted Subsidiaries to satisfy customary corporate and other formalities..</w:t>
      </w:r>
    </w:p>
    <w:p>
      <w:pPr>
        <w:spacing w:after="0" w:line="174" w:lineRule="exact"/>
        <w:rPr>
          <w:sz w:val="20"/>
          <w:szCs w:val="20"/>
          <w:color w:val="auto"/>
        </w:rPr>
      </w:pPr>
    </w:p>
    <w:p>
      <w:pPr>
        <w:ind w:left="720" w:hanging="712"/>
        <w:spacing w:after="0"/>
        <w:tabs>
          <w:tab w:leader="none" w:pos="720" w:val="left"/>
        </w:tabs>
        <w:numPr>
          <w:ilvl w:val="0"/>
          <w:numId w:val="143"/>
        </w:numPr>
        <w:rPr>
          <w:rFonts w:ascii="Arial" w:cs="Arial" w:eastAsia="Arial" w:hAnsi="Arial"/>
          <w:sz w:val="18"/>
          <w:szCs w:val="18"/>
          <w:color w:val="010000"/>
        </w:rPr>
      </w:pPr>
      <w:r>
        <w:rPr>
          <w:rFonts w:ascii="Arial" w:cs="Arial" w:eastAsia="Arial" w:hAnsi="Arial"/>
          <w:sz w:val="18"/>
          <w:szCs w:val="18"/>
          <w:b w:val="1"/>
          <w:bCs w:val="1"/>
          <w:color w:val="auto"/>
        </w:rPr>
        <w:t>NEGATIVE COVENANTS.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Each of Parent and each Borrower covenants and agrees that, until the termination of all of the Commitments and the payment in full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w:t>
      </w:r>
    </w:p>
    <w:p>
      <w:pPr>
        <w:spacing w:after="0" w:line="20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010000"/>
        </w:rPr>
        <w:t xml:space="preserve">6.1 </w:t>
      </w:r>
      <w:r>
        <w:rPr>
          <w:rFonts w:ascii="Arial" w:cs="Arial" w:eastAsia="Arial" w:hAnsi="Arial"/>
          <w:sz w:val="17"/>
          <w:szCs w:val="17"/>
          <w:b w:val="1"/>
          <w:bCs w:val="1"/>
          <w:u w:val="single" w:color="auto"/>
          <w:color w:val="000000"/>
        </w:rPr>
        <w:t>Indebtedness</w:t>
      </w:r>
      <w:r>
        <w:rPr>
          <w:rFonts w:ascii="Arial" w:cs="Arial" w:eastAsia="Arial" w:hAnsi="Arial"/>
          <w:sz w:val="17"/>
          <w:szCs w:val="17"/>
          <w:color w:val="000000"/>
        </w:rPr>
        <w:t>. Each Loan Party will not, and will not permit any of its Restricted Subsidiaries to, create, incur, assume, suffer to exist,</w:t>
      </w:r>
      <w:r>
        <w:rPr>
          <w:rFonts w:ascii="Arial" w:cs="Arial" w:eastAsia="Arial" w:hAnsi="Arial"/>
          <w:sz w:val="17"/>
          <w:szCs w:val="17"/>
          <w:color w:val="010000"/>
        </w:rPr>
        <w:t xml:space="preserve"> </w:t>
      </w:r>
      <w:r>
        <w:rPr>
          <w:rFonts w:ascii="Arial" w:cs="Arial" w:eastAsia="Arial" w:hAnsi="Arial"/>
          <w:sz w:val="17"/>
          <w:szCs w:val="17"/>
          <w:color w:val="000000"/>
        </w:rPr>
        <w:t>guarantee, or otherwise become or remain, directly or indirectly, liable with respect to any Indebtedness, except for Permitted Indebtedness.</w:t>
      </w:r>
    </w:p>
    <w:p>
      <w:pPr>
        <w:spacing w:after="0" w:line="14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6.2 </w:t>
      </w:r>
      <w:r>
        <w:rPr>
          <w:rFonts w:ascii="Arial" w:cs="Arial" w:eastAsia="Arial" w:hAnsi="Arial"/>
          <w:sz w:val="18"/>
          <w:szCs w:val="18"/>
          <w:b w:val="1"/>
          <w:bCs w:val="1"/>
          <w:u w:val="single" w:color="auto"/>
          <w:color w:val="000000"/>
        </w:rPr>
        <w:t>Liens</w:t>
      </w:r>
      <w:r>
        <w:rPr>
          <w:rFonts w:ascii="Arial" w:cs="Arial" w:eastAsia="Arial" w:hAnsi="Arial"/>
          <w:sz w:val="18"/>
          <w:szCs w:val="18"/>
          <w:color w:val="000000"/>
        </w:rPr>
        <w:t>. Each Loan Party will not, and will not permit any of its Restricted Subsidiaries to, create, incur, assume, or suffer to exist,</w:t>
      </w:r>
      <w:r>
        <w:rPr>
          <w:rFonts w:ascii="Arial" w:cs="Arial" w:eastAsia="Arial" w:hAnsi="Arial"/>
          <w:sz w:val="18"/>
          <w:szCs w:val="18"/>
          <w:color w:val="010000"/>
        </w:rPr>
        <w:t xml:space="preserve"> </w:t>
      </w:r>
      <w:r>
        <w:rPr>
          <w:rFonts w:ascii="Arial" w:cs="Arial" w:eastAsia="Arial" w:hAnsi="Arial"/>
          <w:sz w:val="18"/>
          <w:szCs w:val="18"/>
          <w:color w:val="000000"/>
        </w:rPr>
        <w:t>directly or indirectly, any Lien on or with respect to any of its assets, of any kind, whether now owned or hereafter acquired, or any income or profits therefrom, except for Permitted Liens.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ind w:left="660"/>
        <w:spacing w:after="0"/>
        <w:tabs>
          <w:tab w:leader="none" w:pos="1540" w:val="left"/>
        </w:tabs>
        <w:rPr>
          <w:sz w:val="20"/>
          <w:szCs w:val="20"/>
          <w:color w:val="auto"/>
        </w:rPr>
      </w:pPr>
      <w:r>
        <w:rPr>
          <w:rFonts w:ascii="Arial" w:cs="Arial" w:eastAsia="Arial" w:hAnsi="Arial"/>
          <w:sz w:val="18"/>
          <w:szCs w:val="18"/>
          <w:color w:val="010000"/>
        </w:rPr>
        <w:t>6.3</w:t>
      </w:r>
      <w:r>
        <w:rPr>
          <w:sz w:val="20"/>
          <w:szCs w:val="20"/>
          <w:color w:val="auto"/>
        </w:rPr>
        <w:tab/>
      </w:r>
      <w:r>
        <w:rPr>
          <w:rFonts w:ascii="Arial" w:cs="Arial" w:eastAsia="Arial" w:hAnsi="Arial"/>
          <w:sz w:val="16"/>
          <w:szCs w:val="16"/>
          <w:b w:val="1"/>
          <w:bCs w:val="1"/>
          <w:u w:val="single" w:color="auto"/>
          <w:color w:val="auto"/>
        </w:rPr>
        <w:t>Restrictions on Fundamental Changes</w:t>
      </w:r>
      <w:r>
        <w:rPr>
          <w:rFonts w:ascii="Arial" w:cs="Arial" w:eastAsia="Arial" w:hAnsi="Arial"/>
          <w:sz w:val="16"/>
          <w:szCs w:val="16"/>
          <w:color w:val="auto"/>
        </w:rPr>
        <w:t>. Each Loan Party will not, and will not permit any of its Restricted Subsidiaries to,</w:t>
      </w:r>
    </w:p>
    <w:p>
      <w:pPr>
        <w:spacing w:after="0" w:line="229" w:lineRule="exact"/>
        <w:rPr>
          <w:sz w:val="20"/>
          <w:szCs w:val="20"/>
          <w:color w:val="auto"/>
        </w:rPr>
      </w:pPr>
    </w:p>
    <w:p>
      <w:pPr>
        <w:jc w:val="both"/>
        <w:ind w:firstLine="1304"/>
        <w:spacing w:after="0" w:line="257" w:lineRule="auto"/>
        <w:tabs>
          <w:tab w:leader="none" w:pos="2566"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 xml:space="preserve">Other than in order to consummate a Permitted Acquisition, enter into any merger, consolidation, reorganization, or recapitalization, or reclassify its Equity Interests, except for (i) any merger between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that a Borrower must be the surviving entity of any such merger to which it is a party and no merger may occur between Parent and any Borrower, (ii) any merger between a Loan Party and a Subsidiary of such Loan Party that is not a Loan Party so long as such Loan Party is the surviving entity of any such merger, and (iii) any merger between Subsidiaries of any Loan Party that are not Loan Parties,</w:t>
      </w:r>
    </w:p>
    <w:p>
      <w:pPr>
        <w:spacing w:after="0" w:line="187" w:lineRule="exact"/>
        <w:rPr>
          <w:rFonts w:ascii="Arial" w:cs="Arial" w:eastAsia="Arial" w:hAnsi="Arial"/>
          <w:sz w:val="18"/>
          <w:szCs w:val="18"/>
          <w:color w:val="010000"/>
        </w:rPr>
      </w:pPr>
    </w:p>
    <w:p>
      <w:pPr>
        <w:jc w:val="both"/>
        <w:ind w:firstLine="1304"/>
        <w:spacing w:after="0" w:line="254" w:lineRule="auto"/>
        <w:tabs>
          <w:tab w:leader="none" w:pos="2279"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liquidate, wind up, or dissolve itself (or suffer any liquidation or dissolution), except for (i) the liquidation or dissolution of non-operating Subsidiaries of any Loan Party with nominal assets and nominal liabilities, (ii) the liquidation or dissolution of a Loan Party (other than Parent or any Borrower) or any of its wholly-owned Subsidiaries so long as all of the assets (including any interest in any Equity Interests) of such liquidating or dissolving Loan Party or Subsidiary are transferred to a Loan Party that is not liquidating or dissolving, or (iii) the liquidation or dissolution of a Subsidiary of any Loan Party that is not a Loan Party (other than any such Subsidiary the Equity Interests of which (or any portion thereof) is subject to a Lien in favor of Agent) so long as all of the assets of such liquidating or dissolving Subsidiary are transferred to a Subsidiary of a Loan Party that is not liquidating or dissolving,</w:t>
      </w:r>
    </w:p>
    <w:p>
      <w:pPr>
        <w:spacing w:after="0" w:line="194" w:lineRule="exact"/>
        <w:rPr>
          <w:rFonts w:ascii="Arial" w:cs="Arial" w:eastAsia="Arial" w:hAnsi="Arial"/>
          <w:sz w:val="18"/>
          <w:szCs w:val="18"/>
          <w:color w:val="010000"/>
        </w:rPr>
      </w:pPr>
    </w:p>
    <w:p>
      <w:pPr>
        <w:ind w:firstLine="1304"/>
        <w:spacing w:after="0" w:line="277" w:lineRule="auto"/>
        <w:tabs>
          <w:tab w:leader="none" w:pos="2364"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 xml:space="preserve">suspend or cease operating a substantial portion of its or their business, except as permitted pursuant to clauses (a) or (b) above or in connection with a transaction permitted under </w:t>
      </w:r>
      <w:r>
        <w:rPr>
          <w:rFonts w:ascii="Arial" w:cs="Arial" w:eastAsia="Arial" w:hAnsi="Arial"/>
          <w:sz w:val="18"/>
          <w:szCs w:val="18"/>
          <w:u w:val="single" w:color="auto"/>
          <w:color w:val="auto"/>
        </w:rPr>
        <w:t>Section 6.4</w:t>
      </w:r>
      <w:r>
        <w:rPr>
          <w:rFonts w:ascii="Arial" w:cs="Arial" w:eastAsia="Arial" w:hAnsi="Arial"/>
          <w:sz w:val="18"/>
          <w:szCs w:val="18"/>
          <w:color w:val="auto"/>
        </w:rPr>
        <w:t>, or</w:t>
      </w:r>
    </w:p>
    <w:p>
      <w:pPr>
        <w:spacing w:after="0" w:line="170" w:lineRule="exact"/>
        <w:rPr>
          <w:rFonts w:ascii="Arial" w:cs="Arial" w:eastAsia="Arial" w:hAnsi="Arial"/>
          <w:sz w:val="18"/>
          <w:szCs w:val="18"/>
          <w:color w:val="010000"/>
        </w:rPr>
      </w:pPr>
    </w:p>
    <w:p>
      <w:pPr>
        <w:ind w:left="2240" w:hanging="936"/>
        <w:spacing w:after="0"/>
        <w:tabs>
          <w:tab w:leader="none" w:pos="2240" w:val="left"/>
        </w:tabs>
        <w:numPr>
          <w:ilvl w:val="0"/>
          <w:numId w:val="144"/>
        </w:numPr>
        <w:rPr>
          <w:rFonts w:ascii="Arial" w:cs="Arial" w:eastAsia="Arial" w:hAnsi="Arial"/>
          <w:sz w:val="17"/>
          <w:szCs w:val="17"/>
          <w:color w:val="010000"/>
        </w:rPr>
      </w:pPr>
      <w:r>
        <w:rPr>
          <w:rFonts w:ascii="Arial" w:cs="Arial" w:eastAsia="Arial" w:hAnsi="Arial"/>
          <w:sz w:val="17"/>
          <w:szCs w:val="17"/>
          <w:color w:val="auto"/>
        </w:rPr>
        <w:t>without 30 days prior written notice to Agent, change its classification/status for U.S. federal income tax purposes.</w:t>
      </w:r>
    </w:p>
    <w:p>
      <w:pPr>
        <w:spacing w:after="0" w:line="23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010000"/>
        </w:rPr>
        <w:t xml:space="preserve">6.4 </w:t>
      </w:r>
      <w:r>
        <w:rPr>
          <w:rFonts w:ascii="Arial" w:cs="Arial" w:eastAsia="Arial" w:hAnsi="Arial"/>
          <w:sz w:val="16"/>
          <w:szCs w:val="16"/>
          <w:b w:val="1"/>
          <w:bCs w:val="1"/>
          <w:u w:val="single" w:color="auto"/>
          <w:color w:val="000000"/>
        </w:rPr>
        <w:t>Disposal of Assets</w:t>
      </w:r>
      <w:r>
        <w:rPr>
          <w:rFonts w:ascii="Arial" w:cs="Arial" w:eastAsia="Arial" w:hAnsi="Arial"/>
          <w:sz w:val="16"/>
          <w:szCs w:val="16"/>
          <w:color w:val="000000"/>
        </w:rPr>
        <w:t>. Other than Permitted Dispositions or transactions expressly permitted by</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Sections 6.3</w:t>
      </w:r>
      <w:r>
        <w:rPr>
          <w:rFonts w:ascii="Arial" w:cs="Arial" w:eastAsia="Arial" w:hAnsi="Arial"/>
          <w:sz w:val="16"/>
          <w:szCs w:val="16"/>
          <w:color w:val="010000"/>
        </w:rPr>
        <w:t xml:space="preserve"> </w:t>
      </w:r>
      <w:r>
        <w:rPr>
          <w:rFonts w:ascii="Arial" w:cs="Arial" w:eastAsia="Arial" w:hAnsi="Arial"/>
          <w:sz w:val="16"/>
          <w:szCs w:val="16"/>
          <w:color w:val="000000"/>
        </w:rPr>
        <w:t>or</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6.9</w:t>
      </w:r>
      <w:r>
        <w:rPr>
          <w:rFonts w:ascii="Arial" w:cs="Arial" w:eastAsia="Arial" w:hAnsi="Arial"/>
          <w:sz w:val="16"/>
          <w:szCs w:val="16"/>
          <w:color w:val="000000"/>
        </w:rPr>
        <w:t>, each Loan Party will</w:t>
      </w:r>
      <w:r>
        <w:rPr>
          <w:rFonts w:ascii="Arial" w:cs="Arial" w:eastAsia="Arial" w:hAnsi="Arial"/>
          <w:sz w:val="16"/>
          <w:szCs w:val="16"/>
          <w:color w:val="010000"/>
        </w:rPr>
        <w:t xml:space="preserve"> </w:t>
      </w:r>
      <w:r>
        <w:rPr>
          <w:rFonts w:ascii="Arial" w:cs="Arial" w:eastAsia="Arial" w:hAnsi="Arial"/>
          <w:sz w:val="16"/>
          <w:szCs w:val="16"/>
          <w:color w:val="000000"/>
        </w:rPr>
        <w:t>not, and will not permit any of its Restricted Subsidiaries to, convey, sell, lease, license, assign, transfer, or otherwise dispose of any of its or their assets.</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010000"/>
        </w:rPr>
        <w:t xml:space="preserve">6.5 </w:t>
      </w:r>
      <w:r>
        <w:rPr>
          <w:rFonts w:ascii="Arial" w:cs="Arial" w:eastAsia="Arial" w:hAnsi="Arial"/>
          <w:sz w:val="18"/>
          <w:szCs w:val="18"/>
          <w:b w:val="1"/>
          <w:bCs w:val="1"/>
          <w:u w:val="single" w:color="auto"/>
          <w:color w:val="000000"/>
        </w:rPr>
        <w:t>Nature of Business</w:t>
      </w:r>
      <w:r>
        <w:rPr>
          <w:rFonts w:ascii="Arial" w:cs="Arial" w:eastAsia="Arial" w:hAnsi="Arial"/>
          <w:sz w:val="18"/>
          <w:szCs w:val="18"/>
          <w:color w:val="000000"/>
        </w:rPr>
        <w:t>. Each Loan Party will not, and will not permit any of its Restricted Subsidiaries to, make any change in the nature</w:t>
      </w:r>
      <w:r>
        <w:rPr>
          <w:rFonts w:ascii="Arial" w:cs="Arial" w:eastAsia="Arial" w:hAnsi="Arial"/>
          <w:sz w:val="18"/>
          <w:szCs w:val="18"/>
          <w:color w:val="010000"/>
        </w:rPr>
        <w:t xml:space="preserve"> </w:t>
      </w:r>
      <w:r>
        <w:rPr>
          <w:rFonts w:ascii="Arial" w:cs="Arial" w:eastAsia="Arial" w:hAnsi="Arial"/>
          <w:sz w:val="18"/>
          <w:szCs w:val="18"/>
          <w:color w:val="000000"/>
        </w:rPr>
        <w:t xml:space="preserve">of its or their business conducted on the Closing Date or acquire any properties or assets that are not reasonably related to the conduct of such business activities; </w:t>
      </w:r>
      <w:r>
        <w:rPr>
          <w:rFonts w:ascii="Arial" w:cs="Arial" w:eastAsia="Arial" w:hAnsi="Arial"/>
          <w:sz w:val="18"/>
          <w:szCs w:val="18"/>
          <w:u w:val="single" w:color="auto"/>
          <w:color w:val="000000"/>
        </w:rPr>
        <w:t>provided</w:t>
      </w:r>
      <w:r>
        <w:rPr>
          <w:rFonts w:ascii="Arial" w:cs="Arial" w:eastAsia="Arial" w:hAnsi="Arial"/>
          <w:sz w:val="18"/>
          <w:szCs w:val="18"/>
          <w:color w:val="000000"/>
        </w:rPr>
        <w:t>, that the foregoing shall not prevent any Loan Party or Restricted Subsidiaries from engaging in any business that is reasonably related or ancillary to their business.</w:t>
      </w:r>
    </w:p>
    <w:p>
      <w:pPr>
        <w:spacing w:after="0" w:line="180"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010000"/>
        </w:rPr>
        <w:t>6.6</w:t>
      </w:r>
      <w:r>
        <w:rPr>
          <w:sz w:val="20"/>
          <w:szCs w:val="20"/>
          <w:color w:val="auto"/>
        </w:rPr>
        <w:tab/>
      </w:r>
      <w:r>
        <w:rPr>
          <w:rFonts w:ascii="Arial" w:cs="Arial" w:eastAsia="Arial" w:hAnsi="Arial"/>
          <w:sz w:val="16"/>
          <w:szCs w:val="16"/>
          <w:b w:val="1"/>
          <w:bCs w:val="1"/>
          <w:u w:val="single" w:color="auto"/>
          <w:color w:val="auto"/>
        </w:rPr>
        <w:t>Prepayments and Amendments</w:t>
      </w:r>
      <w:r>
        <w:rPr>
          <w:rFonts w:ascii="Arial" w:cs="Arial" w:eastAsia="Arial" w:hAnsi="Arial"/>
          <w:sz w:val="16"/>
          <w:szCs w:val="16"/>
          <w:color w:val="auto"/>
        </w:rPr>
        <w:t>. Each Loan Party will not, and will not permit any of its Restricted Subsidiaries to,</w:t>
      </w:r>
    </w:p>
    <w:p>
      <w:pPr>
        <w:spacing w:after="0" w:line="229" w:lineRule="exact"/>
        <w:rPr>
          <w:sz w:val="20"/>
          <w:szCs w:val="20"/>
          <w:color w:val="auto"/>
        </w:rPr>
      </w:pPr>
    </w:p>
    <w:p>
      <w:pPr>
        <w:ind w:left="2220" w:hanging="916"/>
        <w:spacing w:after="0"/>
        <w:tabs>
          <w:tab w:leader="none" w:pos="2220" w:val="left"/>
        </w:tabs>
        <w:numPr>
          <w:ilvl w:val="0"/>
          <w:numId w:val="145"/>
        </w:numPr>
        <w:rPr>
          <w:rFonts w:ascii="Arial" w:cs="Arial" w:eastAsia="Arial" w:hAnsi="Arial"/>
          <w:sz w:val="16"/>
          <w:szCs w:val="16"/>
          <w:color w:val="010000"/>
        </w:rPr>
      </w:pPr>
      <w:r>
        <w:rPr>
          <w:rFonts w:ascii="Arial" w:cs="Arial" w:eastAsia="Arial" w:hAnsi="Arial"/>
          <w:sz w:val="16"/>
          <w:szCs w:val="16"/>
          <w:color w:val="auto"/>
        </w:rPr>
        <w:t xml:space="preserve">Except in connection with Refinancing Indebtedness permitted by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subject in all respects to </w:t>
      </w:r>
      <w:r>
        <w:rPr>
          <w:rFonts w:ascii="Arial" w:cs="Arial" w:eastAsia="Arial" w:hAnsi="Arial"/>
          <w:sz w:val="16"/>
          <w:szCs w:val="16"/>
          <w:u w:val="single" w:color="auto"/>
          <w:color w:val="auto"/>
        </w:rPr>
        <w:t>Section 6.15</w:t>
      </w:r>
      <w:r>
        <w:rPr>
          <w:rFonts w:ascii="Arial" w:cs="Arial" w:eastAsia="Arial" w:hAnsi="Arial"/>
          <w:sz w:val="16"/>
          <w:szCs w:val="16"/>
          <w:color w:val="auto"/>
        </w:rPr>
        <w:t>,</w:t>
      </w:r>
    </w:p>
    <w:p>
      <w:pPr>
        <w:spacing w:after="0" w:line="248" w:lineRule="exact"/>
        <w:rPr>
          <w:rFonts w:ascii="Arial" w:cs="Arial" w:eastAsia="Arial" w:hAnsi="Arial"/>
          <w:sz w:val="16"/>
          <w:szCs w:val="16"/>
          <w:color w:val="010000"/>
        </w:rPr>
      </w:pPr>
    </w:p>
    <w:p>
      <w:pPr>
        <w:jc w:val="both"/>
        <w:ind w:firstLine="1952"/>
        <w:spacing w:after="0" w:line="263" w:lineRule="auto"/>
        <w:tabs>
          <w:tab w:leader="none" w:pos="314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optionally prepay, redeem, defease, purchase, or otherwise acquire any Indebtedness of any Loan Party or its Restricted Subsidiaries in respect of obligations for borrowed money, other than (A) the Obligations in accordance with this Agreement, (B) Hedge Obligations, and (C) Permitted Indebtedness Prepayments, or</w:t>
      </w:r>
    </w:p>
    <w:p>
      <w:pPr>
        <w:spacing w:after="0" w:line="183" w:lineRule="exact"/>
        <w:rPr>
          <w:rFonts w:ascii="Arial" w:cs="Arial" w:eastAsia="Arial" w:hAnsi="Arial"/>
          <w:sz w:val="18"/>
          <w:szCs w:val="18"/>
          <w:color w:val="auto"/>
        </w:rPr>
      </w:pPr>
    </w:p>
    <w:p>
      <w:pPr>
        <w:ind w:firstLine="1952"/>
        <w:spacing w:after="0" w:line="277" w:lineRule="auto"/>
        <w:tabs>
          <w:tab w:leader="none" w:pos="293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make any payment on account of Indebtedness that has been contractually subordinated in right of payment to the Obligations if such payment is not permitted at such time under the subordination terms and conditions,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ind w:left="2240" w:hanging="936"/>
        <w:spacing w:after="0"/>
        <w:tabs>
          <w:tab w:leader="none" w:pos="2240" w:val="left"/>
        </w:tabs>
        <w:numPr>
          <w:ilvl w:val="0"/>
          <w:numId w:val="146"/>
        </w:numPr>
        <w:rPr>
          <w:rFonts w:ascii="Arial" w:cs="Arial" w:eastAsia="Arial" w:hAnsi="Arial"/>
          <w:sz w:val="18"/>
          <w:szCs w:val="18"/>
          <w:color w:val="010000"/>
        </w:rPr>
      </w:pPr>
      <w:r>
        <w:rPr>
          <w:rFonts w:ascii="Arial" w:cs="Arial" w:eastAsia="Arial" w:hAnsi="Arial"/>
          <w:sz w:val="18"/>
          <w:szCs w:val="18"/>
          <w:color w:val="auto"/>
        </w:rPr>
        <w:t>Directly or indirectly, amend, modify, or change any of the terms or provisions of:</w:t>
      </w:r>
    </w:p>
    <w:p>
      <w:pPr>
        <w:spacing w:after="0" w:line="225" w:lineRule="exact"/>
        <w:rPr>
          <w:rFonts w:ascii="Arial" w:cs="Arial" w:eastAsia="Arial" w:hAnsi="Arial"/>
          <w:sz w:val="18"/>
          <w:szCs w:val="18"/>
          <w:color w:val="010000"/>
        </w:rPr>
      </w:pPr>
    </w:p>
    <w:p>
      <w:pPr>
        <w:jc w:val="both"/>
        <w:ind w:firstLine="1952"/>
        <w:spacing w:after="0" w:line="263" w:lineRule="auto"/>
        <w:tabs>
          <w:tab w:leader="none" w:pos="290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any agreement, instrument, document, indenture, or other writing evidencing or concerning Permitted Indebtedness other than (A) the Obligations in accordance with this Agreement, (B) Hedge Obligations, (C) Permitted Intercompany Advances, and (D) Indebtedness permitted under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(k)</w:t>
      </w:r>
      <w:r>
        <w:rPr>
          <w:rFonts w:ascii="Arial" w:cs="Arial" w:eastAsia="Arial" w:hAnsi="Arial"/>
          <w:sz w:val="18"/>
          <w:szCs w:val="18"/>
          <w:color w:val="auto"/>
        </w:rPr>
        <w:t xml:space="preserve"> of the definition of Permitted Indebtedness, or</w:t>
      </w:r>
    </w:p>
    <w:p>
      <w:pPr>
        <w:spacing w:after="0" w:line="183" w:lineRule="exact"/>
        <w:rPr>
          <w:rFonts w:ascii="Arial" w:cs="Arial" w:eastAsia="Arial" w:hAnsi="Arial"/>
          <w:sz w:val="18"/>
          <w:szCs w:val="18"/>
          <w:color w:val="auto"/>
        </w:rPr>
      </w:pPr>
    </w:p>
    <w:p>
      <w:pPr>
        <w:ind w:left="3120" w:hanging="1168"/>
        <w:spacing w:after="0"/>
        <w:tabs>
          <w:tab w:leader="none" w:pos="312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Governing Documents of any Loan Party or any of its Restricted Subsidiaries if the effect thereof, either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individually or in the aggregate, could reasonably be expected to be materially adverse to the interests of the Lenders.</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010000"/>
        </w:rPr>
        <w:t xml:space="preserve">6.7 </w:t>
      </w:r>
      <w:r>
        <w:rPr>
          <w:rFonts w:ascii="Arial" w:cs="Arial" w:eastAsia="Arial" w:hAnsi="Arial"/>
          <w:sz w:val="18"/>
          <w:szCs w:val="18"/>
          <w:b w:val="1"/>
          <w:bCs w:val="1"/>
          <w:u w:val="single" w:color="auto"/>
          <w:color w:val="000000"/>
        </w:rPr>
        <w:t>Restricted Payments</w:t>
      </w:r>
      <w:r>
        <w:rPr>
          <w:rFonts w:ascii="Arial" w:cs="Arial" w:eastAsia="Arial" w:hAnsi="Arial"/>
          <w:sz w:val="18"/>
          <w:szCs w:val="18"/>
          <w:color w:val="000000"/>
        </w:rPr>
        <w:t>. Each Loan Party will not, and will not permit any of its Restricted Subsidiaries to, make any Restricted</w:t>
      </w:r>
      <w:r>
        <w:rPr>
          <w:rFonts w:ascii="Arial" w:cs="Arial" w:eastAsia="Arial" w:hAnsi="Arial"/>
          <w:sz w:val="18"/>
          <w:szCs w:val="18"/>
          <w:color w:val="010000"/>
        </w:rPr>
        <w:t xml:space="preserve"> </w:t>
      </w:r>
      <w:r>
        <w:rPr>
          <w:rFonts w:ascii="Arial" w:cs="Arial" w:eastAsia="Arial" w:hAnsi="Arial"/>
          <w:sz w:val="18"/>
          <w:szCs w:val="18"/>
          <w:color w:val="000000"/>
        </w:rPr>
        <w:t xml:space="preserve">Payment; </w:t>
      </w:r>
      <w:r>
        <w:rPr>
          <w:rFonts w:ascii="Arial" w:cs="Arial" w:eastAsia="Arial" w:hAnsi="Arial"/>
          <w:sz w:val="18"/>
          <w:szCs w:val="18"/>
          <w:u w:val="single" w:color="auto"/>
          <w:color w:val="000000"/>
        </w:rPr>
        <w:t>provided</w:t>
      </w:r>
      <w:r>
        <w:rPr>
          <w:rFonts w:ascii="Arial" w:cs="Arial" w:eastAsia="Arial" w:hAnsi="Arial"/>
          <w:sz w:val="18"/>
          <w:szCs w:val="18"/>
          <w:color w:val="000000"/>
        </w:rPr>
        <w:t>, that so long as it is permitted by law,</w:t>
      </w:r>
    </w:p>
    <w:p>
      <w:pPr>
        <w:spacing w:after="0" w:line="166" w:lineRule="exact"/>
        <w:rPr>
          <w:sz w:val="20"/>
          <w:szCs w:val="20"/>
          <w:color w:val="auto"/>
        </w:rPr>
      </w:pPr>
    </w:p>
    <w:p>
      <w:pPr>
        <w:jc w:val="both"/>
        <w:ind w:firstLine="1304"/>
        <w:spacing w:after="0" w:line="257" w:lineRule="auto"/>
        <w:tabs>
          <w:tab w:leader="none" w:pos="2229" w:val="left"/>
        </w:tabs>
        <w:numPr>
          <w:ilvl w:val="0"/>
          <w:numId w:val="147"/>
        </w:numPr>
        <w:rPr>
          <w:rFonts w:ascii="Arial" w:cs="Arial" w:eastAsia="Arial" w:hAnsi="Arial"/>
          <w:sz w:val="18"/>
          <w:szCs w:val="18"/>
          <w:color w:val="010000"/>
        </w:rPr>
      </w:pPr>
      <w:r>
        <w:rPr>
          <w:rFonts w:ascii="Arial" w:cs="Arial" w:eastAsia="Arial" w:hAnsi="Arial"/>
          <w:sz w:val="18"/>
          <w:szCs w:val="18"/>
          <w:color w:val="auto"/>
        </w:rPr>
        <w:t xml:space="preserve">so long as no Default or Event of Default shall have occurred and be continuing or would result therefrom, Parent may make distributions to former employees, officers, or directors of Parent (or any spouses, ex-spouses, or estates of any of the foregoing) on account of redemptions of Equity Interests of Parent held by such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such redemptions made by Parent during the term of this Agreement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the amount of Indebtedness outstanding under clause (l) of the definition of Permitted Indebtedness, does not exceed $2,400,000 in the aggregate,</w:t>
      </w:r>
    </w:p>
    <w:p>
      <w:pPr>
        <w:spacing w:after="0" w:line="187" w:lineRule="exact"/>
        <w:rPr>
          <w:rFonts w:ascii="Arial" w:cs="Arial" w:eastAsia="Arial" w:hAnsi="Arial"/>
          <w:sz w:val="18"/>
          <w:szCs w:val="18"/>
          <w:color w:val="010000"/>
        </w:rPr>
      </w:pPr>
    </w:p>
    <w:p>
      <w:pPr>
        <w:jc w:val="both"/>
        <w:ind w:firstLine="1304"/>
        <w:spacing w:after="0" w:line="259" w:lineRule="auto"/>
        <w:tabs>
          <w:tab w:leader="none" w:pos="2239" w:val="left"/>
        </w:tabs>
        <w:numPr>
          <w:ilvl w:val="0"/>
          <w:numId w:val="147"/>
        </w:numPr>
        <w:rPr>
          <w:rFonts w:ascii="Arial" w:cs="Arial" w:eastAsia="Arial" w:hAnsi="Arial"/>
          <w:sz w:val="18"/>
          <w:szCs w:val="18"/>
          <w:color w:val="010000"/>
        </w:rPr>
      </w:pPr>
      <w:r>
        <w:rPr>
          <w:rFonts w:ascii="Arial" w:cs="Arial" w:eastAsia="Arial" w:hAnsi="Arial"/>
          <w:sz w:val="18"/>
          <w:szCs w:val="18"/>
          <w:color w:val="auto"/>
        </w:rPr>
        <w:t xml:space="preserve">so long as no Default or Event of Default shall have occurred and be continuing or would result therefrom, Parent may make distributions to former employees, officers, or directors of Parent (or any spouses, ex-spouses, or estates of any of the foregoing), solely in the form of forgiveness of Indebtedness of such Persons owing to Parent on account of repurchases of the Equity Interests of Parent held by such Persons;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Indebtedness was incurred by such Persons solely to acquire Equity Interests of Parent,</w:t>
      </w:r>
    </w:p>
    <w:p>
      <w:pPr>
        <w:spacing w:after="0" w:line="186" w:lineRule="exact"/>
        <w:rPr>
          <w:rFonts w:ascii="Arial" w:cs="Arial" w:eastAsia="Arial" w:hAnsi="Arial"/>
          <w:sz w:val="18"/>
          <w:szCs w:val="18"/>
          <w:color w:val="010000"/>
        </w:rPr>
      </w:pPr>
    </w:p>
    <w:p>
      <w:pPr>
        <w:jc w:val="both"/>
        <w:ind w:firstLine="1304"/>
        <w:spacing w:after="0" w:line="296" w:lineRule="auto"/>
        <w:tabs>
          <w:tab w:leader="none" w:pos="2539" w:val="left"/>
        </w:tabs>
        <w:numPr>
          <w:ilvl w:val="0"/>
          <w:numId w:val="147"/>
        </w:numPr>
        <w:rPr>
          <w:rFonts w:ascii="Arial" w:cs="Arial" w:eastAsia="Arial" w:hAnsi="Arial"/>
          <w:sz w:val="16"/>
          <w:szCs w:val="16"/>
          <w:color w:val="010000"/>
        </w:rPr>
      </w:pPr>
      <w:r>
        <w:rPr>
          <w:rFonts w:ascii="Arial" w:cs="Arial" w:eastAsia="Arial" w:hAnsi="Arial"/>
          <w:sz w:val="16"/>
          <w:szCs w:val="16"/>
          <w:color w:val="auto"/>
        </w:rPr>
        <w:t>so long as no Default or Event of Default shall have occurred and be continuing or would result therefrom, Parent’s Subsidiaries may make distributions to Parent (i) in an amount sufficient to pay franchise Taxes and other fees required to maintain the legal existence of the Loan Parties and their Subsidiaries to the extent actually used by Parent to pay such Taxes, costs and expenses, and (ii) in an amount sufficient to pay out-of-pocket legal, accounting and filing costs and other expenses in the nature of overhead in the ordinary course of business of the Loan Parties and their Subsidiaries, in the case of clauses (i) and (ii) in an aggregate amount not to exceed $2,000,000 in any fiscal year,</w:t>
      </w:r>
    </w:p>
    <w:p>
      <w:pPr>
        <w:spacing w:after="0" w:line="161" w:lineRule="exact"/>
        <w:rPr>
          <w:rFonts w:ascii="Arial" w:cs="Arial" w:eastAsia="Arial" w:hAnsi="Arial"/>
          <w:sz w:val="16"/>
          <w:szCs w:val="16"/>
          <w:color w:val="010000"/>
        </w:rPr>
      </w:pPr>
    </w:p>
    <w:p>
      <w:pPr>
        <w:jc w:val="both"/>
        <w:ind w:firstLine="1304"/>
        <w:spacing w:after="0" w:line="259" w:lineRule="auto"/>
        <w:tabs>
          <w:tab w:leader="none" w:pos="2374" w:val="left"/>
        </w:tabs>
        <w:numPr>
          <w:ilvl w:val="0"/>
          <w:numId w:val="147"/>
        </w:numPr>
        <w:rPr>
          <w:rFonts w:ascii="Arial" w:cs="Arial" w:eastAsia="Arial" w:hAnsi="Arial"/>
          <w:sz w:val="18"/>
          <w:szCs w:val="18"/>
          <w:color w:val="010000"/>
        </w:rPr>
      </w:pPr>
      <w:r>
        <w:rPr>
          <w:rFonts w:ascii="Arial" w:cs="Arial" w:eastAsia="Arial" w:hAnsi="Arial"/>
          <w:sz w:val="18"/>
          <w:szCs w:val="18"/>
          <w:color w:val="auto"/>
        </w:rPr>
        <w:t>each Restricted Subsidiary may make Restricted Payments to a Loan Party (other than Parent) and to its other Restricted Subsidiaries (and, in the case of a Restricted Payment by a non-wholly owned Restricted Subsidiary, to a Loan Party and any of its other Restricted Subsidiaries and to each other direct owner of Qualified Equity Interests of such Restricted Subsidiary based on their relative ownership interests of the relevant class of Equity Interests),</w:t>
      </w:r>
    </w:p>
    <w:p>
      <w:pPr>
        <w:spacing w:after="0" w:line="186" w:lineRule="exact"/>
        <w:rPr>
          <w:rFonts w:ascii="Arial" w:cs="Arial" w:eastAsia="Arial" w:hAnsi="Arial"/>
          <w:sz w:val="18"/>
          <w:szCs w:val="18"/>
          <w:color w:val="010000"/>
        </w:rPr>
      </w:pPr>
    </w:p>
    <w:p>
      <w:pPr>
        <w:ind w:firstLine="1304"/>
        <w:spacing w:after="0" w:line="277" w:lineRule="auto"/>
        <w:tabs>
          <w:tab w:leader="none" w:pos="2418" w:val="left"/>
        </w:tabs>
        <w:numPr>
          <w:ilvl w:val="0"/>
          <w:numId w:val="147"/>
        </w:numPr>
        <w:rPr>
          <w:rFonts w:ascii="Arial" w:cs="Arial" w:eastAsia="Arial" w:hAnsi="Arial"/>
          <w:sz w:val="18"/>
          <w:szCs w:val="18"/>
          <w:color w:val="010000"/>
        </w:rPr>
      </w:pPr>
      <w:r>
        <w:rPr>
          <w:rFonts w:ascii="Arial" w:cs="Arial" w:eastAsia="Arial" w:hAnsi="Arial"/>
          <w:sz w:val="18"/>
          <w:szCs w:val="18"/>
          <w:color w:val="auto"/>
        </w:rPr>
        <w:t>each Loan Party and each of its Restricted Subsidiaries may declare and make dividend payments or other distributions payable solely in the Qualified Equity Interests of such Person,</w:t>
      </w:r>
    </w:p>
    <w:p>
      <w:pPr>
        <w:spacing w:after="0" w:line="170" w:lineRule="exact"/>
        <w:rPr>
          <w:rFonts w:ascii="Arial" w:cs="Arial" w:eastAsia="Arial" w:hAnsi="Arial"/>
          <w:sz w:val="18"/>
          <w:szCs w:val="18"/>
          <w:color w:val="010000"/>
        </w:rPr>
      </w:pPr>
    </w:p>
    <w:p>
      <w:pPr>
        <w:jc w:val="both"/>
        <w:ind w:firstLine="1304"/>
        <w:spacing w:after="0" w:line="270" w:lineRule="auto"/>
        <w:tabs>
          <w:tab w:leader="none" w:pos="2294" w:val="left"/>
        </w:tabs>
        <w:numPr>
          <w:ilvl w:val="0"/>
          <w:numId w:val="147"/>
        </w:numPr>
        <w:rPr>
          <w:rFonts w:ascii="Arial" w:cs="Arial" w:eastAsia="Arial" w:hAnsi="Arial"/>
          <w:sz w:val="17"/>
          <w:szCs w:val="17"/>
          <w:color w:val="010000"/>
        </w:rPr>
      </w:pPr>
      <w:r>
        <w:rPr>
          <w:rFonts w:ascii="Arial" w:cs="Arial" w:eastAsia="Arial" w:hAnsi="Arial"/>
          <w:sz w:val="17"/>
          <w:szCs w:val="17"/>
          <w:color w:val="auto"/>
        </w:rPr>
        <w:t>Borrowers may make dividends or other distributions to Parent or to any direct or indirect parent of Parent, the proceeds of which will be used solely to pay (or make dividends or distributions to allow any direct or indirect corporate parent (or entity treated as a corporation for tax purposes) thereof to pay) the tax liability (including estimated tax payments) to each foreign, federal, state or local jurisdiction in respect of which a tax return is filed by Parent (or such direct or indirect corporate parent) that includes any Borrower and/or any of its Subsidiaries (including in the case where any Subsidiary is a disregarded entity for income tax purposes), to the extent such tax liability does not exceed the lesser of (i) the taxes (including estimated tax payments) that would have been payable by any Borrower and/or its Subsidiaries as a stand-alone tax group and (ii) the actual tax liability (including estimated tax payments) of Parent’s tax group (or, if Parent is not the parent of the actual group, the taxes that would have been paid by Parent, any Borrower and/or such Borrower’s Subsidiaries as a stand-alone tax group), reduced in the case of clauses (i) and (ii) by any such taxes paid or to be paid directly by any Borrower or its Subsidiaries, 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30"/>
        </w:trPr>
        <w:tc>
          <w:tcPr>
            <w:tcW w:w="1600" w:type="dxa"/>
            <w:vAlign w:val="bottom"/>
          </w:tcPr>
          <w:p>
            <w:pPr>
              <w:jc w:val="right"/>
              <w:spacing w:after="0"/>
              <w:rPr>
                <w:sz w:val="20"/>
                <w:szCs w:val="20"/>
                <w:color w:val="auto"/>
              </w:rPr>
            </w:pPr>
            <w:r>
              <w:rPr>
                <w:rFonts w:ascii="Arial" w:cs="Arial" w:eastAsia="Arial" w:hAnsi="Arial"/>
                <w:sz w:val="18"/>
                <w:szCs w:val="18"/>
                <w:color w:val="010000"/>
              </w:rPr>
              <w:t>(g)</w:t>
            </w:r>
          </w:p>
        </w:tc>
        <w:tc>
          <w:tcPr>
            <w:tcW w:w="200" w:type="dxa"/>
            <w:vAlign w:val="bottom"/>
          </w:tcPr>
          <w:p>
            <w:pPr>
              <w:spacing w:after="0"/>
              <w:rPr>
                <w:sz w:val="20"/>
                <w:szCs w:val="20"/>
                <w:color w:val="auto"/>
              </w:rPr>
            </w:pPr>
          </w:p>
        </w:tc>
        <w:tc>
          <w:tcPr>
            <w:tcW w:w="9440" w:type="dxa"/>
            <w:vAlign w:val="bottom"/>
            <w:gridSpan w:val="3"/>
          </w:tcPr>
          <w:p>
            <w:pPr>
              <w:jc w:val="right"/>
              <w:ind w:right="4040"/>
              <w:spacing w:after="0"/>
              <w:rPr>
                <w:sz w:val="20"/>
                <w:szCs w:val="20"/>
                <w:color w:val="auto"/>
              </w:rPr>
            </w:pPr>
            <w:r>
              <w:rPr>
                <w:rFonts w:ascii="Arial" w:cs="Arial" w:eastAsia="Arial" w:hAnsi="Arial"/>
                <w:sz w:val="18"/>
                <w:szCs w:val="18"/>
                <w:color w:val="auto"/>
                <w:w w:val="96"/>
              </w:rPr>
              <w:t>Restricted Payments so long as the Payment Conditions are satisfied.</w:t>
            </w:r>
          </w:p>
        </w:tc>
      </w:tr>
      <w:tr>
        <w:trPr>
          <w:trHeight w:val="392"/>
        </w:trPr>
        <w:tc>
          <w:tcPr>
            <w:tcW w:w="1600" w:type="dxa"/>
            <w:vAlign w:val="bottom"/>
          </w:tcPr>
          <w:p>
            <w:pPr>
              <w:jc w:val="right"/>
              <w:ind w:right="630"/>
              <w:spacing w:after="0"/>
              <w:rPr>
                <w:sz w:val="20"/>
                <w:szCs w:val="20"/>
                <w:color w:val="auto"/>
              </w:rPr>
            </w:pPr>
            <w:r>
              <w:rPr>
                <w:rFonts w:ascii="Arial" w:cs="Arial" w:eastAsia="Arial" w:hAnsi="Arial"/>
                <w:sz w:val="18"/>
                <w:szCs w:val="18"/>
                <w:color w:val="010000"/>
              </w:rPr>
              <w:t>6.8</w:t>
            </w:r>
          </w:p>
        </w:tc>
        <w:tc>
          <w:tcPr>
            <w:tcW w:w="964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Accounting Methods</w:t>
            </w:r>
            <w:r>
              <w:rPr>
                <w:rFonts w:ascii="Arial" w:cs="Arial" w:eastAsia="Arial" w:hAnsi="Arial"/>
                <w:sz w:val="18"/>
                <w:szCs w:val="18"/>
                <w:color w:val="auto"/>
                <w:w w:val="92"/>
              </w:rPr>
              <w:t>. Each Loan Party will not, and will not permit any of its Restricted Subsidiaries to, modify or change its fiscal</w:t>
            </w:r>
          </w:p>
        </w:tc>
      </w:tr>
      <w:tr>
        <w:trPr>
          <w:trHeight w:val="20"/>
        </w:trPr>
        <w:tc>
          <w:tcPr>
            <w:tcW w:w="1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3000"/>
              <w:spacing w:after="0"/>
              <w:rPr>
                <w:sz w:val="20"/>
                <w:szCs w:val="20"/>
                <w:color w:val="auto"/>
              </w:rPr>
            </w:pPr>
            <w:r>
              <w:rPr>
                <w:rFonts w:ascii="Arial" w:cs="Arial" w:eastAsia="Arial" w:hAnsi="Arial"/>
                <w:sz w:val="18"/>
                <w:szCs w:val="18"/>
                <w:color w:val="auto"/>
                <w:w w:val="90"/>
              </w:rPr>
              <w:t>year or its method of accounting (other than as may be required to conform to, or as may be permitted by, GAAP).</w:t>
            </w:r>
          </w:p>
        </w:tc>
      </w:tr>
      <w:tr>
        <w:trPr>
          <w:trHeight w:val="391"/>
        </w:trPr>
        <w:tc>
          <w:tcPr>
            <w:tcW w:w="1600" w:type="dxa"/>
            <w:vAlign w:val="bottom"/>
          </w:tcPr>
          <w:p>
            <w:pPr>
              <w:jc w:val="right"/>
              <w:ind w:right="630"/>
              <w:spacing w:after="0"/>
              <w:rPr>
                <w:sz w:val="20"/>
                <w:szCs w:val="20"/>
                <w:color w:val="auto"/>
              </w:rPr>
            </w:pPr>
            <w:r>
              <w:rPr>
                <w:rFonts w:ascii="Arial" w:cs="Arial" w:eastAsia="Arial" w:hAnsi="Arial"/>
                <w:sz w:val="18"/>
                <w:szCs w:val="18"/>
                <w:color w:val="010000"/>
              </w:rPr>
              <w:t>6.9</w:t>
            </w:r>
          </w:p>
        </w:tc>
        <w:tc>
          <w:tcPr>
            <w:tcW w:w="200" w:type="dxa"/>
            <w:vAlign w:val="bottom"/>
          </w:tcPr>
          <w:p>
            <w:pPr>
              <w:spacing w:after="0"/>
              <w:rPr>
                <w:sz w:val="24"/>
                <w:szCs w:val="24"/>
                <w:color w:val="auto"/>
              </w:rPr>
            </w:pPr>
          </w:p>
        </w:tc>
        <w:tc>
          <w:tcPr>
            <w:tcW w:w="944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18"/>
                <w:szCs w:val="18"/>
                <w:color w:val="auto"/>
                <w:w w:val="95"/>
              </w:rPr>
              <w:t>. Each Loan Party will not, and will not permit any of its Restricted Subsidiaries to, directly or indirectly, make or</w:t>
            </w:r>
          </w:p>
        </w:tc>
      </w:tr>
      <w:tr>
        <w:trPr>
          <w:trHeight w:val="20"/>
        </w:trPr>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acquire any Investment except for Permitted Investments.</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6.10 </w:t>
      </w:r>
      <w:r>
        <w:rPr>
          <w:rFonts w:ascii="Arial" w:cs="Arial" w:eastAsia="Arial" w:hAnsi="Arial"/>
          <w:sz w:val="18"/>
          <w:szCs w:val="18"/>
          <w:b w:val="1"/>
          <w:bCs w:val="1"/>
          <w:u w:val="single" w:color="auto"/>
          <w:color w:val="000000"/>
        </w:rPr>
        <w:t>Transactions with Affiliates</w:t>
      </w:r>
      <w:r>
        <w:rPr>
          <w:rFonts w:ascii="Arial" w:cs="Arial" w:eastAsia="Arial" w:hAnsi="Arial"/>
          <w:sz w:val="18"/>
          <w:szCs w:val="18"/>
          <w:color w:val="000000"/>
        </w:rPr>
        <w:t>. Each Loan Party will not, and will not permit any of its Restricted Subsidiaries to, directly or indirectly,</w:t>
      </w:r>
      <w:r>
        <w:rPr>
          <w:rFonts w:ascii="Arial" w:cs="Arial" w:eastAsia="Arial" w:hAnsi="Arial"/>
          <w:sz w:val="18"/>
          <w:szCs w:val="18"/>
          <w:color w:val="010000"/>
        </w:rPr>
        <w:t xml:space="preserve"> </w:t>
      </w:r>
      <w:r>
        <w:rPr>
          <w:rFonts w:ascii="Arial" w:cs="Arial" w:eastAsia="Arial" w:hAnsi="Arial"/>
          <w:sz w:val="18"/>
          <w:szCs w:val="18"/>
          <w:color w:val="000000"/>
        </w:rPr>
        <w:t xml:space="preserve">enter into or permit to exist any transaction with any Affiliate of any Loan Party or any of its Restricted Subsidiaries involving an amount in excess of $500,000, except for, subject in all respects to </w:t>
      </w:r>
      <w:r>
        <w:rPr>
          <w:rFonts w:ascii="Arial" w:cs="Arial" w:eastAsia="Arial" w:hAnsi="Arial"/>
          <w:sz w:val="18"/>
          <w:szCs w:val="18"/>
          <w:u w:val="single" w:color="auto"/>
          <w:color w:val="000000"/>
        </w:rPr>
        <w:t>Section 6.15</w:t>
      </w:r>
      <w:r>
        <w:rPr>
          <w:rFonts w:ascii="Arial" w:cs="Arial" w:eastAsia="Arial" w:hAnsi="Arial"/>
          <w:sz w:val="18"/>
          <w:szCs w:val="18"/>
          <w:color w:val="000000"/>
        </w:rPr>
        <w:t>:</w:t>
      </w:r>
    </w:p>
    <w:p>
      <w:pPr>
        <w:spacing w:after="0" w:line="180" w:lineRule="exact"/>
        <w:rPr>
          <w:sz w:val="20"/>
          <w:szCs w:val="20"/>
          <w:color w:val="auto"/>
        </w:rPr>
      </w:pPr>
    </w:p>
    <w:p>
      <w:pPr>
        <w:jc w:val="both"/>
        <w:ind w:firstLine="1304"/>
        <w:spacing w:after="0" w:line="259" w:lineRule="auto"/>
        <w:tabs>
          <w:tab w:leader="none" w:pos="2283" w:val="left"/>
        </w:tabs>
        <w:numPr>
          <w:ilvl w:val="0"/>
          <w:numId w:val="148"/>
        </w:numPr>
        <w:rPr>
          <w:rFonts w:ascii="Arial" w:cs="Arial" w:eastAsia="Arial" w:hAnsi="Arial"/>
          <w:sz w:val="18"/>
          <w:szCs w:val="18"/>
          <w:color w:val="010000"/>
        </w:rPr>
      </w:pPr>
      <w:r>
        <w:rPr>
          <w:rFonts w:ascii="Arial" w:cs="Arial" w:eastAsia="Arial" w:hAnsi="Arial"/>
          <w:sz w:val="18"/>
          <w:szCs w:val="18"/>
          <w:color w:val="auto"/>
        </w:rPr>
        <w:t>transactions (other than the payment of management, consulting, monitoring, or advisory fees) between such Loan Party or its Restricted Subsidiaries, on the one hand, and any Affiliate of such Loan Party or its Restricted Subsidiaries, on the other hand, so long as such transactions are no less favorable, taken as a whole, to such Loan Party or its Restricted Subsidiaries, as applicable, than would be obtained in an arm’s length transaction with a non-Affiliate,</w:t>
      </w:r>
    </w:p>
    <w:p>
      <w:pPr>
        <w:spacing w:after="0" w:line="186" w:lineRule="exact"/>
        <w:rPr>
          <w:rFonts w:ascii="Arial" w:cs="Arial" w:eastAsia="Arial" w:hAnsi="Arial"/>
          <w:sz w:val="18"/>
          <w:szCs w:val="18"/>
          <w:color w:val="010000"/>
        </w:rPr>
      </w:pPr>
    </w:p>
    <w:p>
      <w:pPr>
        <w:jc w:val="both"/>
        <w:ind w:firstLine="1304"/>
        <w:spacing w:after="0" w:line="263" w:lineRule="auto"/>
        <w:tabs>
          <w:tab w:leader="none" w:pos="2482" w:val="left"/>
        </w:tabs>
        <w:numPr>
          <w:ilvl w:val="0"/>
          <w:numId w:val="148"/>
        </w:numPr>
        <w:rPr>
          <w:rFonts w:ascii="Arial" w:cs="Arial" w:eastAsia="Arial" w:hAnsi="Arial"/>
          <w:sz w:val="18"/>
          <w:szCs w:val="18"/>
          <w:color w:val="010000"/>
        </w:rPr>
      </w:pPr>
      <w:r>
        <w:rPr>
          <w:rFonts w:ascii="Arial" w:cs="Arial" w:eastAsia="Arial" w:hAnsi="Arial"/>
          <w:sz w:val="18"/>
          <w:szCs w:val="18"/>
          <w:color w:val="auto"/>
        </w:rPr>
        <w:t>any indemnity provided for the benefit of directors (or comparable managers) of a Loan Party or one of its Restricted Subsidiaries so long as it has been approved by such Loan Party’s or such Restricted Subsidiary’s board of directors (or comparable governing body) in accordance with applicable law,</w:t>
      </w:r>
    </w:p>
    <w:p>
      <w:pPr>
        <w:spacing w:after="0" w:line="183" w:lineRule="exact"/>
        <w:rPr>
          <w:rFonts w:ascii="Arial" w:cs="Arial" w:eastAsia="Arial" w:hAnsi="Arial"/>
          <w:sz w:val="18"/>
          <w:szCs w:val="18"/>
          <w:color w:val="010000"/>
        </w:rPr>
      </w:pPr>
    </w:p>
    <w:p>
      <w:pPr>
        <w:jc w:val="both"/>
        <w:ind w:firstLine="1304"/>
        <w:spacing w:after="0" w:line="311" w:lineRule="auto"/>
        <w:tabs>
          <w:tab w:leader="none" w:pos="2310" w:val="left"/>
        </w:tabs>
        <w:numPr>
          <w:ilvl w:val="0"/>
          <w:numId w:val="148"/>
        </w:numPr>
        <w:rPr>
          <w:rFonts w:ascii="Arial" w:cs="Arial" w:eastAsia="Arial" w:hAnsi="Arial"/>
          <w:sz w:val="16"/>
          <w:szCs w:val="16"/>
          <w:color w:val="010000"/>
        </w:rPr>
      </w:pPr>
      <w:r>
        <w:rPr>
          <w:rFonts w:ascii="Arial" w:cs="Arial" w:eastAsia="Arial" w:hAnsi="Arial"/>
          <w:sz w:val="16"/>
          <w:szCs w:val="16"/>
          <w:color w:val="auto"/>
        </w:rPr>
        <w:t>the payment of reasonable compensation, severance, or employee benefit arrangements to employees, officers, and outside directors of a Loan Party or one of its Restricted Subsidiaries in the ordinary course of business and consistent with industry practice so long as it has been approved by such Loan Party’s or such Restricted Subsidiary’s board of directors (or comparable governing body) in accordance with applicable law,</w:t>
      </w:r>
    </w:p>
    <w:p>
      <w:pPr>
        <w:spacing w:after="0" w:line="148" w:lineRule="exact"/>
        <w:rPr>
          <w:rFonts w:ascii="Arial" w:cs="Arial" w:eastAsia="Arial" w:hAnsi="Arial"/>
          <w:sz w:val="16"/>
          <w:szCs w:val="16"/>
          <w:color w:val="010000"/>
        </w:rPr>
      </w:pPr>
    </w:p>
    <w:p>
      <w:pPr>
        <w:ind w:left="2360" w:hanging="1056"/>
        <w:spacing w:after="0"/>
        <w:tabs>
          <w:tab w:leader="none" w:pos="2360" w:val="left"/>
        </w:tabs>
        <w:numPr>
          <w:ilvl w:val="0"/>
          <w:numId w:val="148"/>
        </w:numPr>
        <w:rPr>
          <w:rFonts w:ascii="Arial" w:cs="Arial" w:eastAsia="Arial" w:hAnsi="Arial"/>
          <w:sz w:val="16"/>
          <w:szCs w:val="16"/>
          <w:color w:val="010000"/>
        </w:rPr>
      </w:pPr>
      <w:r>
        <w:rPr>
          <w:rFonts w:ascii="Arial" w:cs="Arial" w:eastAsia="Arial" w:hAnsi="Arial"/>
          <w:sz w:val="16"/>
          <w:szCs w:val="16"/>
          <w:color w:val="auto"/>
        </w:rPr>
        <w:t>(i) transactions solely among the Loan Parties (other than Parent), and (ii) transactions solely among Subsidiaries of Loan</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Parties that are not Loan Parties,</w:t>
      </w:r>
    </w:p>
    <w:p>
      <w:pPr>
        <w:spacing w:after="0" w:line="210" w:lineRule="exact"/>
        <w:rPr>
          <w:rFonts w:ascii="Arial" w:cs="Arial" w:eastAsia="Arial" w:hAnsi="Arial"/>
          <w:sz w:val="16"/>
          <w:szCs w:val="16"/>
          <w:color w:val="010000"/>
        </w:rPr>
      </w:pPr>
    </w:p>
    <w:p>
      <w:pPr>
        <w:ind w:left="2220" w:hanging="916"/>
        <w:spacing w:after="0"/>
        <w:tabs>
          <w:tab w:leader="none" w:pos="2220" w:val="left"/>
        </w:tabs>
        <w:numPr>
          <w:ilvl w:val="0"/>
          <w:numId w:val="148"/>
        </w:numPr>
        <w:rPr>
          <w:rFonts w:ascii="Arial" w:cs="Arial" w:eastAsia="Arial" w:hAnsi="Arial"/>
          <w:sz w:val="18"/>
          <w:szCs w:val="18"/>
          <w:color w:val="010000"/>
        </w:rPr>
      </w:pPr>
      <w:r>
        <w:rPr>
          <w:rFonts w:ascii="Arial" w:cs="Arial" w:eastAsia="Arial" w:hAnsi="Arial"/>
          <w:sz w:val="18"/>
          <w:szCs w:val="18"/>
          <w:color w:val="auto"/>
        </w:rPr>
        <w:t xml:space="preserve">transactions permitted by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firstLine="1304"/>
        <w:spacing w:after="0" w:line="254" w:lineRule="auto"/>
        <w:tabs>
          <w:tab w:leader="none" w:pos="2470" w:val="left"/>
        </w:tabs>
        <w:numPr>
          <w:ilvl w:val="0"/>
          <w:numId w:val="148"/>
        </w:numPr>
        <w:rPr>
          <w:rFonts w:ascii="Arial" w:cs="Arial" w:eastAsia="Arial" w:hAnsi="Arial"/>
          <w:sz w:val="18"/>
          <w:szCs w:val="18"/>
          <w:color w:val="010000"/>
        </w:rPr>
      </w:pPr>
      <w:r>
        <w:rPr>
          <w:rFonts w:ascii="Arial" w:cs="Arial" w:eastAsia="Arial" w:hAnsi="Arial"/>
          <w:sz w:val="18"/>
          <w:szCs w:val="18"/>
          <w:color w:val="auto"/>
        </w:rPr>
        <w:t xml:space="preserve">the payment, pursuant to the Management Agreement, of (i) management, consulting, monitoring, and advisory fees to Sponsor or its Affiliates in an aggregate amount per month not to exceed the monthly amount calculated pursuant to Section 2.1 of the Management Agreement, so long as no Event of Default has occurred and is continuing or would result therefrom;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any such management, consulting, monitoring or advisory fees to Sponsor or its Affiliates are not permitted to be paid as a result of the failure to satisfy the condition set forth in this </w:t>
      </w:r>
      <w:r>
        <w:rPr>
          <w:rFonts w:ascii="Arial" w:cs="Arial" w:eastAsia="Arial" w:hAnsi="Arial"/>
          <w:sz w:val="18"/>
          <w:szCs w:val="18"/>
          <w:u w:val="single" w:color="auto"/>
          <w:color w:val="auto"/>
        </w:rPr>
        <w:t>Section 6.10(f)(i)</w:t>
      </w:r>
      <w:r>
        <w:rPr>
          <w:rFonts w:ascii="Arial" w:cs="Arial" w:eastAsia="Arial" w:hAnsi="Arial"/>
          <w:sz w:val="18"/>
          <w:szCs w:val="18"/>
          <w:color w:val="auto"/>
        </w:rPr>
        <w:t xml:space="preserve">, then (1) such amounts shall continue to accrue, and (2) any such amounts that have accrued but which were not permitted to be paid may be paid in any subsequent quarter so long as the condition set forth in this </w:t>
      </w:r>
      <w:r>
        <w:rPr>
          <w:rFonts w:ascii="Arial" w:cs="Arial" w:eastAsia="Arial" w:hAnsi="Arial"/>
          <w:sz w:val="18"/>
          <w:szCs w:val="18"/>
          <w:u w:val="single" w:color="auto"/>
          <w:color w:val="auto"/>
        </w:rPr>
        <w:t>Section 6.10(f)(i)</w:t>
      </w:r>
      <w:r>
        <w:rPr>
          <w:rFonts w:ascii="Arial" w:cs="Arial" w:eastAsia="Arial" w:hAnsi="Arial"/>
          <w:sz w:val="18"/>
          <w:szCs w:val="18"/>
          <w:color w:val="auto"/>
        </w:rPr>
        <w:t xml:space="preserve"> is satisfied at the time of the making of such payments, and (ii) reasonable out-of-pocket expenses of, and the indemnification of, Sponsor or its Affiliates, including in connection with acquisitions or divestitures that are permitted by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ind w:firstLine="1304"/>
        <w:spacing w:after="0" w:line="286" w:lineRule="auto"/>
        <w:tabs>
          <w:tab w:leader="none" w:pos="2347" w:val="left"/>
        </w:tabs>
        <w:numPr>
          <w:ilvl w:val="0"/>
          <w:numId w:val="149"/>
        </w:numPr>
        <w:rPr>
          <w:rFonts w:ascii="Arial" w:cs="Arial" w:eastAsia="Arial" w:hAnsi="Arial"/>
          <w:sz w:val="17"/>
          <w:szCs w:val="17"/>
          <w:color w:val="010000"/>
        </w:rPr>
      </w:pPr>
      <w:r>
        <w:rPr>
          <w:rFonts w:ascii="Arial" w:cs="Arial" w:eastAsia="Arial" w:hAnsi="Arial"/>
          <w:sz w:val="17"/>
          <w:szCs w:val="17"/>
          <w:color w:val="auto"/>
        </w:rPr>
        <w:t>the payment pursuant to the Management Agreement of transaction fees charged by Sponsor for providing services to the Loan Parties and their Subsidiaries in connection with a Permitted Acquisition so long as such transaction fees are paid at or substantially concurrent with the closing of such Permitted Acquisition and so long as such transaction fees do not exceed an amount equal to $3,600,000,</w:t>
      </w:r>
    </w:p>
    <w:p>
      <w:pPr>
        <w:spacing w:after="0" w:line="165" w:lineRule="exact"/>
        <w:rPr>
          <w:rFonts w:ascii="Arial" w:cs="Arial" w:eastAsia="Arial" w:hAnsi="Arial"/>
          <w:sz w:val="17"/>
          <w:szCs w:val="17"/>
          <w:color w:val="010000"/>
        </w:rPr>
      </w:pPr>
    </w:p>
    <w:p>
      <w:pPr>
        <w:jc w:val="both"/>
        <w:ind w:firstLine="1304"/>
        <w:spacing w:after="0" w:line="263" w:lineRule="auto"/>
        <w:tabs>
          <w:tab w:leader="none" w:pos="2239" w:val="left"/>
        </w:tabs>
        <w:numPr>
          <w:ilvl w:val="0"/>
          <w:numId w:val="149"/>
        </w:numPr>
        <w:rPr>
          <w:rFonts w:ascii="Arial" w:cs="Arial" w:eastAsia="Arial" w:hAnsi="Arial"/>
          <w:sz w:val="18"/>
          <w:szCs w:val="18"/>
          <w:color w:val="010000"/>
        </w:rPr>
      </w:pPr>
      <w:r>
        <w:rPr>
          <w:rFonts w:ascii="Arial" w:cs="Arial" w:eastAsia="Arial" w:hAnsi="Arial"/>
          <w:sz w:val="18"/>
          <w:szCs w:val="18"/>
          <w:color w:val="auto"/>
        </w:rPr>
        <w:t>agreements for the non-exclusive licensing of intellectual property, or distribution of products, in each case, among the Loan Parties and their Subsidiaries for the purpose of the counterparty thereof operating its business, and agreements for the assignment of intellectual property from any Loan Party or any of its Subsidiaries to any Loan Party,</w:t>
      </w:r>
    </w:p>
    <w:p>
      <w:pPr>
        <w:spacing w:after="0" w:line="183" w:lineRule="exact"/>
        <w:rPr>
          <w:rFonts w:ascii="Arial" w:cs="Arial" w:eastAsia="Arial" w:hAnsi="Arial"/>
          <w:sz w:val="18"/>
          <w:szCs w:val="18"/>
          <w:color w:val="010000"/>
        </w:rPr>
      </w:pPr>
    </w:p>
    <w:p>
      <w:pPr>
        <w:ind w:firstLine="1304"/>
        <w:spacing w:after="0" w:line="277" w:lineRule="auto"/>
        <w:tabs>
          <w:tab w:leader="none" w:pos="2257" w:val="left"/>
        </w:tabs>
        <w:numPr>
          <w:ilvl w:val="0"/>
          <w:numId w:val="149"/>
        </w:numPr>
        <w:rPr>
          <w:rFonts w:ascii="Arial" w:cs="Arial" w:eastAsia="Arial" w:hAnsi="Arial"/>
          <w:sz w:val="18"/>
          <w:szCs w:val="18"/>
          <w:color w:val="010000"/>
        </w:rPr>
      </w:pPr>
      <w:r>
        <w:rPr>
          <w:rFonts w:ascii="Arial" w:cs="Arial" w:eastAsia="Arial" w:hAnsi="Arial"/>
          <w:sz w:val="18"/>
          <w:szCs w:val="18"/>
          <w:color w:val="auto"/>
        </w:rPr>
        <w:t>payments to Affiliates pursuant to agreements in effect on the Closing Date that have been fully disclosed to Agent (and not amended after the Closing Date without the prior written consent of Agent),</w:t>
      </w:r>
    </w:p>
    <w:p>
      <w:pPr>
        <w:spacing w:after="0" w:line="170" w:lineRule="exact"/>
        <w:rPr>
          <w:rFonts w:ascii="Arial" w:cs="Arial" w:eastAsia="Arial" w:hAnsi="Arial"/>
          <w:sz w:val="18"/>
          <w:szCs w:val="18"/>
          <w:color w:val="010000"/>
        </w:rPr>
      </w:pPr>
    </w:p>
    <w:p>
      <w:pPr>
        <w:ind w:left="2240" w:hanging="936"/>
        <w:spacing w:after="0"/>
        <w:tabs>
          <w:tab w:leader="none" w:pos="2240" w:val="left"/>
        </w:tabs>
        <w:numPr>
          <w:ilvl w:val="0"/>
          <w:numId w:val="149"/>
        </w:numPr>
        <w:rPr>
          <w:rFonts w:ascii="Arial" w:cs="Arial" w:eastAsia="Arial" w:hAnsi="Arial"/>
          <w:sz w:val="18"/>
          <w:szCs w:val="18"/>
          <w:color w:val="010000"/>
        </w:rPr>
      </w:pPr>
      <w:r>
        <w:rPr>
          <w:rFonts w:ascii="Arial" w:cs="Arial" w:eastAsia="Arial" w:hAnsi="Arial"/>
          <w:sz w:val="18"/>
          <w:szCs w:val="18"/>
          <w:color w:val="auto"/>
        </w:rPr>
        <w:t>transactions so long as the Payment Conditions are satisfied.</w:t>
      </w:r>
    </w:p>
    <w:p>
      <w:pPr>
        <w:spacing w:after="0" w:line="2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010000"/>
        </w:rPr>
        <w:t xml:space="preserve">6.11 </w:t>
      </w:r>
      <w:r>
        <w:rPr>
          <w:rFonts w:ascii="Arial" w:cs="Arial" w:eastAsia="Arial" w:hAnsi="Arial"/>
          <w:sz w:val="16"/>
          <w:szCs w:val="16"/>
          <w:b w:val="1"/>
          <w:bCs w:val="1"/>
          <w:u w:val="single" w:color="auto"/>
          <w:color w:val="000000"/>
        </w:rPr>
        <w:t>Use of Proceeds</w:t>
      </w:r>
      <w:r>
        <w:rPr>
          <w:rFonts w:ascii="Arial" w:cs="Arial" w:eastAsia="Arial" w:hAnsi="Arial"/>
          <w:sz w:val="16"/>
          <w:szCs w:val="16"/>
          <w:color w:val="000000"/>
        </w:rPr>
        <w:t>. Each Loan Party will not, and will not permit any of its Subsidiaries to, use the proceeds of any Loan made hereunder</w:t>
      </w:r>
      <w:r>
        <w:rPr>
          <w:rFonts w:ascii="Arial" w:cs="Arial" w:eastAsia="Arial" w:hAnsi="Arial"/>
          <w:sz w:val="16"/>
          <w:szCs w:val="16"/>
          <w:color w:val="010000"/>
        </w:rPr>
        <w:t xml:space="preserve"> </w:t>
      </w:r>
      <w:r>
        <w:rPr>
          <w:rFonts w:ascii="Arial" w:cs="Arial" w:eastAsia="Arial" w:hAnsi="Arial"/>
          <w:sz w:val="16"/>
          <w:szCs w:val="16"/>
          <w:color w:val="000000"/>
        </w:rPr>
        <w:t>for any purpose other than (a) on the Closing Date, (i) to repay, in full, the outstanding principal, accrued interest, and accrued fees and expenses owing under or in connection with the Existing Credit Agreement and (ii) to pay the fees, costs, and expenses incurred in connection with this Agreement, the other Loan Documents, and the transactions contemplated hereby and thereby, in each case, as set forth in the Flow of Funds Agreement, and (b) thereafter, consistent with the terms and conditions hereof, for their lawful and permitted purposes, including general corporate purposes and to finance transactions not prohibited by the Loan Documents; provided that (x) no part of the proceeds of the Loans will be used to purchase or carry any such Margin Stock or to extend credit to others for the purpose of purchasing or carrying any such Margin Stock or for any purpose that violates the provisions of Regulation T, U or X of the Board of Governors, (y) no part of the proceeds of any Loan or Letter of Credit will be used, directly or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and (z) that no part of the proceeds of any Loan or Letter of Credit will be used, directly or indirectly, in furtherance of an offer, payment, promise to pay, or authorization of the payment or giving of money, or anything else of value, to any Person in violation of any Sanctions, Anti-Corruption Laws or Anti-Money Laundering Laws.</w:t>
      </w:r>
    </w:p>
    <w:p>
      <w:pPr>
        <w:spacing w:after="0" w:line="164"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010000"/>
        </w:rPr>
        <w:t xml:space="preserve">6.12 </w:t>
      </w:r>
      <w:r>
        <w:rPr>
          <w:rFonts w:ascii="Arial" w:cs="Arial" w:eastAsia="Arial" w:hAnsi="Arial"/>
          <w:sz w:val="16"/>
          <w:szCs w:val="16"/>
          <w:b w:val="1"/>
          <w:bCs w:val="1"/>
          <w:u w:val="single" w:color="auto"/>
          <w:color w:val="000000"/>
        </w:rPr>
        <w:t>Limitation on Issuance of Equity Interests</w:t>
      </w:r>
      <w:r>
        <w:rPr>
          <w:rFonts w:ascii="Arial" w:cs="Arial" w:eastAsia="Arial" w:hAnsi="Arial"/>
          <w:sz w:val="16"/>
          <w:szCs w:val="16"/>
          <w:color w:val="000000"/>
        </w:rPr>
        <w:t>. Except for the issuance or sale of Qualified Equity Interests by Parent and other</w:t>
      </w:r>
      <w:r>
        <w:rPr>
          <w:rFonts w:ascii="Arial" w:cs="Arial" w:eastAsia="Arial" w:hAnsi="Arial"/>
          <w:sz w:val="16"/>
          <w:szCs w:val="16"/>
          <w:color w:val="010000"/>
        </w:rPr>
        <w:t xml:space="preserve"> </w:t>
      </w:r>
      <w:r>
        <w:rPr>
          <w:rFonts w:ascii="Arial" w:cs="Arial" w:eastAsia="Arial" w:hAnsi="Arial"/>
          <w:sz w:val="16"/>
          <w:szCs w:val="16"/>
          <w:color w:val="000000"/>
        </w:rPr>
        <w:t>issuances expressly permitted hereunder, each Loan Party will not, and will not permit any of its Subsidiaries to, issue or sell any of its Equity Interests.</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6.13 </w:t>
      </w:r>
      <w:r>
        <w:rPr>
          <w:rFonts w:ascii="Arial" w:cs="Arial" w:eastAsia="Arial" w:hAnsi="Arial"/>
          <w:sz w:val="18"/>
          <w:szCs w:val="18"/>
          <w:b w:val="1"/>
          <w:bCs w:val="1"/>
          <w:u w:val="single" w:color="auto"/>
          <w:color w:val="000000"/>
        </w:rPr>
        <w:t>Whole Aircraft, Whole Engines or Parts with Bailees</w:t>
      </w:r>
      <w:r>
        <w:rPr>
          <w:rFonts w:ascii="Arial" w:cs="Arial" w:eastAsia="Arial" w:hAnsi="Arial"/>
          <w:sz w:val="18"/>
          <w:szCs w:val="18"/>
          <w:color w:val="000000"/>
        </w:rPr>
        <w:t>. Each Borrower will not, and will not permit any of its Subsidiaries to, store</w:t>
      </w:r>
      <w:r>
        <w:rPr>
          <w:rFonts w:ascii="Arial" w:cs="Arial" w:eastAsia="Arial" w:hAnsi="Arial"/>
          <w:sz w:val="18"/>
          <w:szCs w:val="18"/>
          <w:color w:val="010000"/>
        </w:rPr>
        <w:t xml:space="preserve"> </w:t>
      </w:r>
      <w:r>
        <w:rPr>
          <w:rFonts w:ascii="Arial" w:cs="Arial" w:eastAsia="Arial" w:hAnsi="Arial"/>
          <w:sz w:val="18"/>
          <w:szCs w:val="18"/>
          <w:color w:val="000000"/>
        </w:rPr>
        <w:t xml:space="preserve">its Eligible Whole Aircraft, Eligible Whole Engines or Eligible Parts at any time with a bailee, warehouseman, or similar party except as set forth on </w:t>
      </w:r>
      <w:r>
        <w:rPr>
          <w:rFonts w:ascii="Arial" w:cs="Arial" w:eastAsia="Arial" w:hAnsi="Arial"/>
          <w:sz w:val="18"/>
          <w:szCs w:val="18"/>
          <w:u w:val="single" w:color="auto"/>
          <w:color w:val="000000"/>
        </w:rPr>
        <w:t>Schedule E-2</w:t>
      </w:r>
      <w:r>
        <w:rPr>
          <w:rFonts w:ascii="Arial" w:cs="Arial" w:eastAsia="Arial" w:hAnsi="Arial"/>
          <w:sz w:val="18"/>
          <w:szCs w:val="18"/>
          <w:color w:val="000000"/>
        </w:rPr>
        <w:t xml:space="preserve"> (as such Schedule may be amended in accordance with Section 5.14).</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jc w:val="both"/>
        <w:ind w:firstLine="648"/>
        <w:spacing w:after="0" w:line="266" w:lineRule="auto"/>
        <w:rPr>
          <w:sz w:val="20"/>
          <w:szCs w:val="20"/>
          <w:color w:val="auto"/>
        </w:rPr>
      </w:pPr>
      <w:r>
        <w:rPr>
          <w:rFonts w:ascii="Arial" w:cs="Arial" w:eastAsia="Arial" w:hAnsi="Arial"/>
          <w:sz w:val="18"/>
          <w:szCs w:val="18"/>
          <w:color w:val="010000"/>
        </w:rPr>
        <w:t xml:space="preserve">6.14 </w:t>
      </w:r>
      <w:r>
        <w:rPr>
          <w:rFonts w:ascii="Arial" w:cs="Arial" w:eastAsia="Arial" w:hAnsi="Arial"/>
          <w:sz w:val="18"/>
          <w:szCs w:val="18"/>
          <w:b w:val="1"/>
          <w:bCs w:val="1"/>
          <w:u w:val="single" w:color="auto"/>
          <w:color w:val="000000"/>
        </w:rPr>
        <w:t>Parent as Holding Company</w:t>
      </w:r>
      <w:r>
        <w:rPr>
          <w:rFonts w:ascii="Arial" w:cs="Arial" w:eastAsia="Arial" w:hAnsi="Arial"/>
          <w:sz w:val="18"/>
          <w:szCs w:val="18"/>
          <w:color w:val="000000"/>
        </w:rPr>
        <w:t>. Parent will not incur any liabilities (other than liabilities arising under the Loan Documents), own or</w:t>
      </w:r>
      <w:r>
        <w:rPr>
          <w:rFonts w:ascii="Arial" w:cs="Arial" w:eastAsia="Arial" w:hAnsi="Arial"/>
          <w:sz w:val="18"/>
          <w:szCs w:val="18"/>
          <w:color w:val="010000"/>
        </w:rPr>
        <w:t xml:space="preserve"> </w:t>
      </w:r>
      <w:r>
        <w:rPr>
          <w:rFonts w:ascii="Arial" w:cs="Arial" w:eastAsia="Arial" w:hAnsi="Arial"/>
          <w:sz w:val="18"/>
          <w:szCs w:val="18"/>
          <w:color w:val="000000"/>
        </w:rPr>
        <w:t>acquire any assets (other than the Equity Interests of AerSale) or engage itself in any operations or business, except in connection with its ownership of AerSale and its rights and obligations under the Loan Documents.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6.15 </w:t>
      </w:r>
      <w:r>
        <w:rPr>
          <w:rFonts w:ascii="Arial" w:cs="Arial" w:eastAsia="Arial" w:hAnsi="Arial"/>
          <w:sz w:val="18"/>
          <w:szCs w:val="18"/>
          <w:b w:val="1"/>
          <w:bCs w:val="1"/>
          <w:u w:val="single" w:color="auto"/>
          <w:color w:val="000000"/>
        </w:rPr>
        <w:t>Unrestricted Subsidiary Transactions</w:t>
      </w:r>
      <w:r>
        <w:rPr>
          <w:rFonts w:ascii="Arial" w:cs="Arial" w:eastAsia="Arial" w:hAnsi="Arial"/>
          <w:sz w:val="18"/>
          <w:szCs w:val="18"/>
          <w:color w:val="000000"/>
        </w:rPr>
        <w:t>. Notwithstanding anything set forth in this Agreement to the contrary, each Loan Party will not,</w:t>
      </w:r>
      <w:r>
        <w:rPr>
          <w:rFonts w:ascii="Arial" w:cs="Arial" w:eastAsia="Arial" w:hAnsi="Arial"/>
          <w:sz w:val="18"/>
          <w:szCs w:val="18"/>
          <w:color w:val="010000"/>
        </w:rPr>
        <w:t xml:space="preserve"> </w:t>
      </w:r>
      <w:r>
        <w:rPr>
          <w:rFonts w:ascii="Arial" w:cs="Arial" w:eastAsia="Arial" w:hAnsi="Arial"/>
          <w:sz w:val="18"/>
          <w:szCs w:val="18"/>
          <w:color w:val="000000"/>
        </w:rPr>
        <w:t>and will not permit any of its Restricted Subsidiaries to, directly or indirectly, enter in to or permit to exist any transaction (whether in the form of an Investment, a Disposition or otherwise, and howsoever characterized) with any Unrestricted Subsidiary unless:</w:t>
      </w:r>
    </w:p>
    <w:p>
      <w:pPr>
        <w:spacing w:after="0" w:line="180" w:lineRule="exact"/>
        <w:rPr>
          <w:sz w:val="20"/>
          <w:szCs w:val="20"/>
          <w:color w:val="auto"/>
        </w:rPr>
      </w:pPr>
    </w:p>
    <w:p>
      <w:pPr>
        <w:ind w:left="2220" w:hanging="916"/>
        <w:spacing w:after="0"/>
        <w:tabs>
          <w:tab w:leader="none" w:pos="2220" w:val="left"/>
        </w:tabs>
        <w:numPr>
          <w:ilvl w:val="0"/>
          <w:numId w:val="150"/>
        </w:numPr>
        <w:rPr>
          <w:rFonts w:ascii="Arial" w:cs="Arial" w:eastAsia="Arial" w:hAnsi="Arial"/>
          <w:sz w:val="18"/>
          <w:szCs w:val="18"/>
          <w:color w:val="010000"/>
        </w:rPr>
      </w:pPr>
      <w:r>
        <w:rPr>
          <w:rFonts w:ascii="Arial" w:cs="Arial" w:eastAsia="Arial" w:hAnsi="Arial"/>
          <w:sz w:val="18"/>
          <w:szCs w:val="18"/>
          <w:color w:val="auto"/>
        </w:rPr>
        <w:t>no Default or Event of Default then exists or would arise as result of the consummation of such transaction;</w:t>
      </w:r>
    </w:p>
    <w:p>
      <w:pPr>
        <w:spacing w:after="0" w:line="225" w:lineRule="exact"/>
        <w:rPr>
          <w:rFonts w:ascii="Arial" w:cs="Arial" w:eastAsia="Arial" w:hAnsi="Arial"/>
          <w:sz w:val="18"/>
          <w:szCs w:val="18"/>
          <w:color w:val="010000"/>
        </w:rPr>
      </w:pPr>
    </w:p>
    <w:p>
      <w:pPr>
        <w:ind w:left="2500" w:hanging="1196"/>
        <w:spacing w:after="0"/>
        <w:tabs>
          <w:tab w:leader="none" w:pos="2500" w:val="left"/>
        </w:tabs>
        <w:numPr>
          <w:ilvl w:val="0"/>
          <w:numId w:val="150"/>
        </w:numPr>
        <w:rPr>
          <w:rFonts w:ascii="Arial" w:cs="Arial" w:eastAsia="Arial" w:hAnsi="Arial"/>
          <w:sz w:val="16"/>
          <w:szCs w:val="16"/>
          <w:color w:val="010000"/>
        </w:rPr>
      </w:pPr>
      <w:r>
        <w:rPr>
          <w:rFonts w:ascii="Arial" w:cs="Arial" w:eastAsia="Arial" w:hAnsi="Arial"/>
          <w:sz w:val="16"/>
          <w:szCs w:val="16"/>
          <w:color w:val="auto"/>
        </w:rPr>
        <w:t>with respect to any such transaction involving cash or Cash Equivalents of a Loan Party or Restricted Subsidiary, the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Payment Conditions are met; and</w:t>
      </w:r>
    </w:p>
    <w:p>
      <w:pPr>
        <w:spacing w:after="0" w:line="210" w:lineRule="exact"/>
        <w:rPr>
          <w:rFonts w:ascii="Arial" w:cs="Arial" w:eastAsia="Arial" w:hAnsi="Arial"/>
          <w:sz w:val="16"/>
          <w:szCs w:val="16"/>
          <w:color w:val="010000"/>
        </w:rPr>
      </w:pPr>
    </w:p>
    <w:p>
      <w:pPr>
        <w:ind w:left="2220" w:hanging="916"/>
        <w:spacing w:after="0"/>
        <w:tabs>
          <w:tab w:leader="none" w:pos="2220" w:val="left"/>
        </w:tabs>
        <w:numPr>
          <w:ilvl w:val="0"/>
          <w:numId w:val="150"/>
        </w:numPr>
        <w:rPr>
          <w:rFonts w:ascii="Arial" w:cs="Arial" w:eastAsia="Arial" w:hAnsi="Arial"/>
          <w:sz w:val="18"/>
          <w:szCs w:val="18"/>
          <w:color w:val="010000"/>
        </w:rPr>
      </w:pPr>
      <w:r>
        <w:rPr>
          <w:rFonts w:ascii="Arial" w:cs="Arial" w:eastAsia="Arial" w:hAnsi="Arial"/>
          <w:sz w:val="18"/>
          <w:szCs w:val="18"/>
          <w:color w:val="auto"/>
        </w:rPr>
        <w:t>with respect to any transaction involving other assets of a Loan Party or Restricted Subsidiary,</w:t>
      </w:r>
    </w:p>
    <w:p>
      <w:pPr>
        <w:spacing w:after="0" w:line="225" w:lineRule="exact"/>
        <w:rPr>
          <w:rFonts w:ascii="Arial" w:cs="Arial" w:eastAsia="Arial" w:hAnsi="Arial"/>
          <w:sz w:val="18"/>
          <w:szCs w:val="18"/>
          <w:color w:val="010000"/>
        </w:rPr>
      </w:pPr>
    </w:p>
    <w:p>
      <w:pPr>
        <w:ind w:left="2880" w:hanging="928"/>
        <w:spacing w:after="0"/>
        <w:tabs>
          <w:tab w:leader="none" w:pos="28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none of such assets constitute Parts or Accounts, and</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305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if any of such assets constitute or comprise Whole Engines, (x) such Whole Engines have been excluded from Eligible Whole Engine Collateral as ineligible, (y) the Payment Conditions are satisfied, and (z) after giving effect to such transaction, the aggregate NOLV of all Whole Engines subject to such transactions would not exceed $30,000,000 in the aggregate (other than Whole Engines comprising Specified Collateral as of the Closing Date).</w:t>
      </w:r>
    </w:p>
    <w:p>
      <w:pPr>
        <w:spacing w:after="0" w:line="18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010000"/>
        </w:rPr>
        <w:t xml:space="preserve">6.16 </w:t>
      </w:r>
      <w:r>
        <w:rPr>
          <w:rFonts w:ascii="Arial" w:cs="Arial" w:eastAsia="Arial" w:hAnsi="Arial"/>
          <w:sz w:val="18"/>
          <w:szCs w:val="18"/>
          <w:b w:val="1"/>
          <w:bCs w:val="1"/>
          <w:u w:val="single" w:color="auto"/>
          <w:color w:val="000000"/>
        </w:rPr>
        <w:t>ERISA</w:t>
      </w:r>
      <w:r>
        <w:rPr>
          <w:rFonts w:ascii="Arial" w:cs="Arial" w:eastAsia="Arial" w:hAnsi="Arial"/>
          <w:sz w:val="18"/>
          <w:szCs w:val="18"/>
          <w:color w:val="000000"/>
        </w:rPr>
        <w:t>. No Borrower shall or shall cause or permit any ERISA Affiliate to, cause or permit to occur an ERISA Event, to the extent</w:t>
      </w:r>
      <w:r>
        <w:rPr>
          <w:rFonts w:ascii="Arial" w:cs="Arial" w:eastAsia="Arial" w:hAnsi="Arial"/>
          <w:sz w:val="18"/>
          <w:szCs w:val="18"/>
          <w:color w:val="010000"/>
        </w:rPr>
        <w:t xml:space="preserve"> </w:t>
      </w:r>
      <w:r>
        <w:rPr>
          <w:rFonts w:ascii="Arial" w:cs="Arial" w:eastAsia="Arial" w:hAnsi="Arial"/>
          <w:sz w:val="18"/>
          <w:szCs w:val="18"/>
          <w:color w:val="000000"/>
        </w:rPr>
        <w:t>any such ERISA Event combined with all other ERISA Events could reasonably be expected to result in a Material Adverse Effect.</w:t>
      </w:r>
    </w:p>
    <w:p>
      <w:pPr>
        <w:spacing w:after="0" w:line="162" w:lineRule="exact"/>
        <w:rPr>
          <w:sz w:val="20"/>
          <w:szCs w:val="20"/>
          <w:color w:val="auto"/>
        </w:rPr>
      </w:pPr>
    </w:p>
    <w:p>
      <w:pPr>
        <w:ind w:left="1000" w:hanging="992"/>
        <w:spacing w:after="0"/>
        <w:tabs>
          <w:tab w:leader="none" w:pos="1000" w:val="left"/>
        </w:tabs>
        <w:numPr>
          <w:ilvl w:val="0"/>
          <w:numId w:val="151"/>
        </w:numPr>
        <w:rPr>
          <w:rFonts w:ascii="Arial" w:cs="Arial" w:eastAsia="Arial" w:hAnsi="Arial"/>
          <w:sz w:val="18"/>
          <w:szCs w:val="18"/>
          <w:color w:val="010000"/>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Each Parent and each Borrower covenants and agrees that, until the termination of all of the Commitments and the payment in full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Obligations, Parent and Borrowers will: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jc w:val="right"/>
              <w:ind w:right="730"/>
              <w:spacing w:after="0"/>
              <w:rPr>
                <w:sz w:val="20"/>
                <w:szCs w:val="20"/>
                <w:color w:val="auto"/>
              </w:rPr>
            </w:pPr>
            <w:r>
              <w:rPr>
                <w:rFonts w:ascii="Arial" w:cs="Arial" w:eastAsia="Arial" w:hAnsi="Arial"/>
                <w:sz w:val="18"/>
                <w:szCs w:val="18"/>
                <w:color w:val="010000"/>
              </w:rPr>
              <w:t>7.1</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9"/>
              </w:rPr>
              <w:t>Fixed</w:t>
            </w:r>
          </w:p>
        </w:tc>
        <w:tc>
          <w:tcPr>
            <w:tcW w:w="908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 xml:space="preserve">Charge Coverage Ratio. </w:t>
            </w:r>
            <w:r>
              <w:rPr>
                <w:rFonts w:ascii="Arial" w:cs="Arial" w:eastAsia="Arial" w:hAnsi="Arial"/>
                <w:sz w:val="18"/>
                <w:szCs w:val="18"/>
                <w:color w:val="auto"/>
                <w:w w:val="91"/>
              </w:rPr>
              <w:t>Have a Fixed Charge Coverage Ratio, measured on a quarter-end basis (beginning with the fiscal</w:t>
            </w:r>
          </w:p>
        </w:tc>
      </w:tr>
      <w:tr>
        <w:trPr>
          <w:trHeight w:val="20"/>
        </w:trPr>
        <w:tc>
          <w:tcPr>
            <w:tcW w:w="1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37"/>
        </w:trPr>
        <w:tc>
          <w:tcPr>
            <w:tcW w:w="2160" w:type="dxa"/>
            <w:vAlign w:val="bottom"/>
            <w:gridSpan w:val="2"/>
          </w:tcPr>
          <w:p>
            <w:pPr>
              <w:jc w:val="right"/>
              <w:spacing w:after="0"/>
              <w:rPr>
                <w:sz w:val="20"/>
                <w:szCs w:val="20"/>
                <w:color w:val="auto"/>
              </w:rPr>
            </w:pPr>
            <w:r>
              <w:rPr>
                <w:rFonts w:ascii="Arial" w:cs="Arial" w:eastAsia="Arial" w:hAnsi="Arial"/>
                <w:sz w:val="18"/>
                <w:szCs w:val="18"/>
                <w:color w:val="auto"/>
                <w:w w:val="88"/>
              </w:rPr>
              <w:t>quarter ending September 30,</w:t>
            </w:r>
          </w:p>
        </w:tc>
        <w:tc>
          <w:tcPr>
            <w:tcW w:w="9080" w:type="dxa"/>
            <w:vAlign w:val="bottom"/>
            <w:gridSpan w:val="2"/>
          </w:tcPr>
          <w:p>
            <w:pPr>
              <w:ind w:left="20"/>
              <w:spacing w:after="0"/>
              <w:rPr>
                <w:sz w:val="20"/>
                <w:szCs w:val="20"/>
                <w:color w:val="auto"/>
              </w:rPr>
            </w:pPr>
            <w:r>
              <w:rPr>
                <w:rFonts w:ascii="Arial" w:cs="Arial" w:eastAsia="Arial" w:hAnsi="Arial"/>
                <w:sz w:val="18"/>
                <w:szCs w:val="18"/>
                <w:color w:val="auto"/>
              </w:rPr>
              <w:t>2018), of at least 1.50 to 1.00 for the four fiscal quarter period then ending.</w:t>
            </w:r>
          </w:p>
        </w:tc>
      </w:tr>
    </w:tbl>
    <w:p>
      <w:pPr>
        <w:spacing w:after="0" w:line="198" w:lineRule="exact"/>
        <w:rPr>
          <w:sz w:val="20"/>
          <w:szCs w:val="20"/>
          <w:color w:val="auto"/>
        </w:rPr>
      </w:pPr>
    </w:p>
    <w:p>
      <w:pPr>
        <w:ind w:left="1000" w:hanging="992"/>
        <w:spacing w:after="0"/>
        <w:tabs>
          <w:tab w:leader="none" w:pos="1000" w:val="left"/>
        </w:tabs>
        <w:numPr>
          <w:ilvl w:val="0"/>
          <w:numId w:val="152"/>
        </w:numPr>
        <w:rPr>
          <w:rFonts w:ascii="Arial" w:cs="Arial" w:eastAsia="Arial" w:hAnsi="Arial"/>
          <w:sz w:val="18"/>
          <w:szCs w:val="18"/>
          <w:color w:val="010000"/>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Any one or more of the following events shall constitute an event of default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under this Agreement:</w:t>
      </w:r>
    </w:p>
    <w:p>
      <w:pPr>
        <w:spacing w:after="0" w:line="22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010000"/>
        </w:rPr>
        <w:t xml:space="preserve">8.1 </w:t>
      </w:r>
      <w:r>
        <w:rPr>
          <w:rFonts w:ascii="Arial" w:cs="Arial" w:eastAsia="Arial" w:hAnsi="Arial"/>
          <w:sz w:val="16"/>
          <w:szCs w:val="16"/>
          <w:b w:val="1"/>
          <w:bCs w:val="1"/>
          <w:u w:val="single" w:color="auto"/>
          <w:color w:val="000000"/>
        </w:rPr>
        <w:t>Payments</w:t>
      </w:r>
      <w:r>
        <w:rPr>
          <w:rFonts w:ascii="Arial" w:cs="Arial" w:eastAsia="Arial" w:hAnsi="Arial"/>
          <w:sz w:val="16"/>
          <w:szCs w:val="16"/>
          <w:color w:val="000000"/>
        </w:rPr>
        <w:t>. If Borrowers fail to pay when due and payable, or when declared due and payable, (a) all or any portion of the Obligations</w:t>
      </w:r>
      <w:r>
        <w:rPr>
          <w:rFonts w:ascii="Arial" w:cs="Arial" w:eastAsia="Arial" w:hAnsi="Arial"/>
          <w:sz w:val="16"/>
          <w:szCs w:val="16"/>
          <w:color w:val="010000"/>
        </w:rPr>
        <w:t xml:space="preserve"> </w:t>
      </w:r>
      <w:r>
        <w:rPr>
          <w:rFonts w:ascii="Arial" w:cs="Arial" w:eastAsia="Arial" w:hAnsi="Arial"/>
          <w:sz w:val="16"/>
          <w:szCs w:val="16"/>
          <w:color w:val="000000"/>
        </w:rPr>
        <w:t>consisting of interest or fees due the Lender Group (including any portion thereof that accrues after the commencement of an Insolvency Proceeding, regardless of whether allowed or allowable in whole or in part as a claim in any such Insolvency Proceeding), and such failure continues for a period of three Business Days, (b) all or any portion of the Obligations consisting of charges due the Lender Group, reimbursement of Lender Group Expenses, or other amounts (other than any portion thereof constituting principal) constituting Obligations, and such failure continues for a period of thirty days, (c) all or any portion of the principal of the Loans, or (d) any amount payable to Issuing Bank in reimbursement of any drawing under a Letter of Credit;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ind w:left="660"/>
        <w:spacing w:after="0"/>
        <w:tabs>
          <w:tab w:leader="none" w:pos="1540" w:val="left"/>
        </w:tabs>
        <w:rPr>
          <w:sz w:val="20"/>
          <w:szCs w:val="20"/>
          <w:color w:val="auto"/>
        </w:rPr>
      </w:pPr>
      <w:r>
        <w:rPr>
          <w:rFonts w:ascii="Arial" w:cs="Arial" w:eastAsia="Arial" w:hAnsi="Arial"/>
          <w:sz w:val="18"/>
          <w:szCs w:val="18"/>
          <w:color w:val="010000"/>
        </w:rPr>
        <w:t>8.2</w:t>
      </w:r>
      <w:r>
        <w:rPr>
          <w:sz w:val="20"/>
          <w:szCs w:val="20"/>
          <w:color w:val="auto"/>
        </w:rPr>
        <w:tab/>
      </w:r>
      <w:r>
        <w:rPr>
          <w:rFonts w:ascii="Arial" w:cs="Arial" w:eastAsia="Arial" w:hAnsi="Arial"/>
          <w:sz w:val="16"/>
          <w:szCs w:val="16"/>
          <w:b w:val="1"/>
          <w:bCs w:val="1"/>
          <w:u w:val="single" w:color="auto"/>
          <w:color w:val="auto"/>
        </w:rPr>
        <w:t>Covenants</w:t>
      </w:r>
      <w:r>
        <w:rPr>
          <w:rFonts w:ascii="Arial" w:cs="Arial" w:eastAsia="Arial" w:hAnsi="Arial"/>
          <w:sz w:val="16"/>
          <w:szCs w:val="16"/>
          <w:color w:val="auto"/>
        </w:rPr>
        <w:t>. If any Loan Party or any of its Subsidiaries:</w:t>
      </w:r>
    </w:p>
    <w:p>
      <w:pPr>
        <w:spacing w:after="0" w:line="229" w:lineRule="exact"/>
        <w:rPr>
          <w:sz w:val="20"/>
          <w:szCs w:val="20"/>
          <w:color w:val="auto"/>
        </w:rPr>
      </w:pPr>
    </w:p>
    <w:p>
      <w:pPr>
        <w:jc w:val="both"/>
        <w:ind w:firstLine="1304"/>
        <w:spacing w:after="0" w:line="291" w:lineRule="auto"/>
        <w:tabs>
          <w:tab w:leader="none" w:pos="2418" w:val="left"/>
        </w:tabs>
        <w:numPr>
          <w:ilvl w:val="1"/>
          <w:numId w:val="153"/>
        </w:numPr>
        <w:rPr>
          <w:rFonts w:ascii="Arial" w:cs="Arial" w:eastAsia="Arial" w:hAnsi="Arial"/>
          <w:sz w:val="16"/>
          <w:szCs w:val="16"/>
          <w:color w:val="010000"/>
        </w:rPr>
      </w:pPr>
      <w:r>
        <w:rPr>
          <w:rFonts w:ascii="Arial" w:cs="Arial" w:eastAsia="Arial" w:hAnsi="Arial"/>
          <w:sz w:val="16"/>
          <w:szCs w:val="16"/>
          <w:color w:val="auto"/>
        </w:rPr>
        <w:t xml:space="preserve">fails to perform or observe any covenant or other agreement contained in any of (i) </w:t>
      </w:r>
      <w:r>
        <w:rPr>
          <w:rFonts w:ascii="Arial" w:cs="Arial" w:eastAsia="Arial" w:hAnsi="Arial"/>
          <w:sz w:val="16"/>
          <w:szCs w:val="16"/>
          <w:u w:val="single" w:color="auto"/>
          <w:color w:val="auto"/>
        </w:rPr>
        <w:t>Sections 3.6</w:t>
      </w:r>
      <w:r>
        <w:rPr>
          <w:rFonts w:ascii="Arial" w:cs="Arial" w:eastAsia="Arial" w:hAnsi="Arial"/>
          <w:sz w:val="16"/>
          <w:szCs w:val="16"/>
          <w:color w:val="auto"/>
        </w:rPr>
        <w:t xml:space="preserve">, </w:t>
      </w:r>
      <w:r>
        <w:rPr>
          <w:rFonts w:ascii="Arial" w:cs="Arial" w:eastAsia="Arial" w:hAnsi="Arial"/>
          <w:sz w:val="16"/>
          <w:szCs w:val="16"/>
          <w:u w:val="single" w:color="auto"/>
          <w:color w:val="auto"/>
        </w:rPr>
        <w:t>5.1(a)</w:t>
      </w:r>
      <w:r>
        <w:rPr>
          <w:rFonts w:ascii="Arial" w:cs="Arial" w:eastAsia="Arial" w:hAnsi="Arial"/>
          <w:sz w:val="16"/>
          <w:szCs w:val="16"/>
          <w:color w:val="auto"/>
        </w:rPr>
        <w:t xml:space="preserve">, </w:t>
      </w:r>
      <w:r>
        <w:rPr>
          <w:rFonts w:ascii="Arial" w:cs="Arial" w:eastAsia="Arial" w:hAnsi="Arial"/>
          <w:sz w:val="16"/>
          <w:szCs w:val="16"/>
          <w:u w:val="single" w:color="auto"/>
          <w:color w:val="auto"/>
        </w:rPr>
        <w:t>5.1(b)</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w:t>
      </w:r>
      <w:r>
        <w:rPr>
          <w:rFonts w:ascii="Arial" w:cs="Arial" w:eastAsia="Arial" w:hAnsi="Arial"/>
          <w:sz w:val="16"/>
          <w:szCs w:val="16"/>
          <w:u w:val="single" w:color="auto"/>
          <w:color w:val="auto"/>
        </w:rPr>
        <w:t>5.3</w:t>
      </w:r>
      <w:r>
        <w:rPr>
          <w:rFonts w:ascii="Arial" w:cs="Arial" w:eastAsia="Arial" w:hAnsi="Arial"/>
          <w:sz w:val="16"/>
          <w:szCs w:val="16"/>
          <w:color w:val="auto"/>
        </w:rPr>
        <w:t xml:space="preserve"> (solely if any Borrower is not in good standing in its jurisdiction of organization), </w:t>
      </w:r>
      <w:r>
        <w:rPr>
          <w:rFonts w:ascii="Arial" w:cs="Arial" w:eastAsia="Arial" w:hAnsi="Arial"/>
          <w:sz w:val="16"/>
          <w:szCs w:val="16"/>
          <w:u w:val="single" w:color="auto"/>
          <w:color w:val="auto"/>
        </w:rPr>
        <w:t>5.6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all provisions other than subsections</w:t>
      </w:r>
    </w:p>
    <w:p>
      <w:pPr>
        <w:jc w:val="both"/>
        <w:ind w:firstLine="8"/>
        <w:spacing w:after="0" w:line="253" w:lineRule="auto"/>
        <w:tabs>
          <w:tab w:leader="none" w:pos="2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and (b) thereof, solely to the extent such provisions relate to Whole Aircraft or Whole Engines) or </w:t>
      </w:r>
      <w:r>
        <w:rPr>
          <w:rFonts w:ascii="Arial" w:cs="Arial" w:eastAsia="Arial" w:hAnsi="Arial"/>
          <w:sz w:val="18"/>
          <w:szCs w:val="18"/>
          <w:u w:val="single" w:color="auto"/>
          <w:color w:val="auto"/>
        </w:rPr>
        <w:t>5.7</w:t>
      </w:r>
      <w:r>
        <w:rPr>
          <w:rFonts w:ascii="Arial" w:cs="Arial" w:eastAsia="Arial" w:hAnsi="Arial"/>
          <w:sz w:val="18"/>
          <w:szCs w:val="18"/>
          <w:color w:val="auto"/>
        </w:rPr>
        <w:t xml:space="preserve"> (solely if any Borrower refuses to allow Agent or its representatives or agents to visit any Borrower’s properties, inspect its assets or books or records, examine and make copies of its books and records, or discuss Borrowers’ affairs, finances, and accounts with officers and employees of any Borrower) of this Agreement, (ii)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Agreement, (iii)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or (iv)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Guaranty and Security Agreement;</w:t>
      </w:r>
    </w:p>
    <w:p>
      <w:pPr>
        <w:spacing w:after="0" w:line="192" w:lineRule="exact"/>
        <w:rPr>
          <w:rFonts w:ascii="Arial" w:cs="Arial" w:eastAsia="Arial" w:hAnsi="Arial"/>
          <w:sz w:val="18"/>
          <w:szCs w:val="18"/>
          <w:color w:val="auto"/>
        </w:rPr>
      </w:pPr>
    </w:p>
    <w:p>
      <w:pPr>
        <w:jc w:val="both"/>
        <w:ind w:firstLine="1304"/>
        <w:spacing w:after="0" w:line="259" w:lineRule="auto"/>
        <w:tabs>
          <w:tab w:leader="none" w:pos="2455" w:val="left"/>
        </w:tabs>
        <w:numPr>
          <w:ilvl w:val="1"/>
          <w:numId w:val="154"/>
        </w:numPr>
        <w:rPr>
          <w:rFonts w:ascii="Arial" w:cs="Arial" w:eastAsia="Arial" w:hAnsi="Arial"/>
          <w:sz w:val="18"/>
          <w:szCs w:val="18"/>
          <w:color w:val="010000"/>
        </w:rPr>
      </w:pPr>
      <w:r>
        <w:rPr>
          <w:rFonts w:ascii="Arial" w:cs="Arial" w:eastAsia="Arial" w:hAnsi="Arial"/>
          <w:sz w:val="18"/>
          <w:szCs w:val="18"/>
          <w:color w:val="auto"/>
        </w:rPr>
        <w:t xml:space="preserve">fails to perform or observe any covenant or other agreement contained in any of </w:t>
      </w:r>
      <w:r>
        <w:rPr>
          <w:rFonts w:ascii="Arial" w:cs="Arial" w:eastAsia="Arial" w:hAnsi="Arial"/>
          <w:sz w:val="18"/>
          <w:szCs w:val="18"/>
          <w:u w:val="single" w:color="auto"/>
          <w:color w:val="auto"/>
        </w:rPr>
        <w:t>Sections 5.1(c)</w:t>
      </w:r>
      <w:r>
        <w:rPr>
          <w:rFonts w:ascii="Arial" w:cs="Arial" w:eastAsia="Arial" w:hAnsi="Arial"/>
          <w:sz w:val="18"/>
          <w:szCs w:val="18"/>
          <w:color w:val="auto"/>
        </w:rPr>
        <w:t xml:space="preserve">, </w:t>
      </w:r>
      <w:r>
        <w:rPr>
          <w:rFonts w:ascii="Arial" w:cs="Arial" w:eastAsia="Arial" w:hAnsi="Arial"/>
          <w:sz w:val="18"/>
          <w:szCs w:val="18"/>
          <w:u w:val="single" w:color="auto"/>
          <w:color w:val="auto"/>
        </w:rPr>
        <w:t>5.3</w:t>
      </w:r>
      <w:r>
        <w:rPr>
          <w:rFonts w:ascii="Arial" w:cs="Arial" w:eastAsia="Arial" w:hAnsi="Arial"/>
          <w:sz w:val="18"/>
          <w:szCs w:val="18"/>
          <w:color w:val="auto"/>
        </w:rPr>
        <w:t xml:space="preserve"> (other than if any Borrower is not in good standing in its jurisdiction of organization),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w:t>
      </w:r>
      <w:r>
        <w:rPr>
          <w:rFonts w:ascii="Arial" w:cs="Arial" w:eastAsia="Arial" w:hAnsi="Arial"/>
          <w:sz w:val="18"/>
          <w:szCs w:val="18"/>
          <w:u w:val="single" w:color="auto"/>
          <w:color w:val="auto"/>
        </w:rPr>
        <w:t>5.8</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5.14</w:t>
      </w:r>
      <w:r>
        <w:rPr>
          <w:rFonts w:ascii="Arial" w:cs="Arial" w:eastAsia="Arial" w:hAnsi="Arial"/>
          <w:sz w:val="18"/>
          <w:szCs w:val="18"/>
          <w:color w:val="auto"/>
        </w:rPr>
        <w:t xml:space="preserve"> of this Agreement and such failure continues for a period of ten days after the earlier of (i) the date on which such failure shall first become known to any officer of any Borrower, or (ii) the date on which written notice thereof is given to Borrowers by Agent; or</w:t>
      </w:r>
    </w:p>
    <w:p>
      <w:pPr>
        <w:spacing w:after="0" w:line="186" w:lineRule="exact"/>
        <w:rPr>
          <w:rFonts w:ascii="Arial" w:cs="Arial" w:eastAsia="Arial" w:hAnsi="Arial"/>
          <w:sz w:val="18"/>
          <w:szCs w:val="18"/>
          <w:color w:val="010000"/>
        </w:rPr>
      </w:pPr>
    </w:p>
    <w:p>
      <w:pPr>
        <w:jc w:val="both"/>
        <w:ind w:firstLine="1304"/>
        <w:spacing w:after="0" w:line="279" w:lineRule="auto"/>
        <w:tabs>
          <w:tab w:leader="none" w:pos="2472" w:val="left"/>
        </w:tabs>
        <w:numPr>
          <w:ilvl w:val="1"/>
          <w:numId w:val="154"/>
        </w:numPr>
        <w:rPr>
          <w:rFonts w:ascii="Arial" w:cs="Arial" w:eastAsia="Arial" w:hAnsi="Arial"/>
          <w:sz w:val="17"/>
          <w:szCs w:val="17"/>
          <w:color w:val="010000"/>
        </w:rPr>
      </w:pPr>
      <w:r>
        <w:rPr>
          <w:rFonts w:ascii="Arial" w:cs="Arial" w:eastAsia="Arial" w:hAnsi="Arial"/>
          <w:sz w:val="17"/>
          <w:szCs w:val="17"/>
          <w:color w:val="auto"/>
        </w:rPr>
        <w:t xml:space="preserve">fails to perform or observe any covenant or other agreement contained in this Agreement, or in any of the other Loan Documents, in each case, other than any such covenant or agreement that is the subject of another provision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(in which event such other provision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govern), and such failure continues for a period of thirty days after the earlier of (i) the date on which such failure shall first become known to any officer of any Borrower, or (ii) the date on which written notice thereof is given to Borrowers by Agent;</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010000"/>
        </w:rPr>
        <w:t xml:space="preserve">8.3 </w:t>
      </w:r>
      <w:r>
        <w:rPr>
          <w:rFonts w:ascii="Arial" w:cs="Arial" w:eastAsia="Arial" w:hAnsi="Arial"/>
          <w:sz w:val="18"/>
          <w:szCs w:val="18"/>
          <w:b w:val="1"/>
          <w:bCs w:val="1"/>
          <w:u w:val="single" w:color="auto"/>
          <w:color w:val="000000"/>
        </w:rPr>
        <w:t>Judgments</w:t>
      </w:r>
      <w:r>
        <w:rPr>
          <w:rFonts w:ascii="Arial" w:cs="Arial" w:eastAsia="Arial" w:hAnsi="Arial"/>
          <w:sz w:val="18"/>
          <w:szCs w:val="18"/>
          <w:color w:val="000000"/>
        </w:rPr>
        <w:t>. If one or more judgments, orders, or awards for the payment of money involving an aggregate amount of $18,000,000, or</w:t>
      </w:r>
      <w:r>
        <w:rPr>
          <w:rFonts w:ascii="Arial" w:cs="Arial" w:eastAsia="Arial" w:hAnsi="Arial"/>
          <w:sz w:val="18"/>
          <w:szCs w:val="18"/>
          <w:color w:val="010000"/>
        </w:rPr>
        <w:t xml:space="preserve"> </w:t>
      </w:r>
      <w:r>
        <w:rPr>
          <w:rFonts w:ascii="Arial" w:cs="Arial" w:eastAsia="Arial" w:hAnsi="Arial"/>
          <w:sz w:val="18"/>
          <w:szCs w:val="18"/>
          <w:color w:val="000000"/>
        </w:rPr>
        <w:t>more (except to the extent fully covered (other than to the extent of customary deductibles) by insurance pursuant to which the insurer has not denied coverage) is entered or filed against a Loan Party or any of its Restricted Subsidiaries, or with respect to any of their respective assets, and either (a) there is a period of thirty consecutive days at any time after the entry of any such judgment, order, or award during which (i) the same is not discharged, satisfied, vacated, or bonded pending appeal, or (ii) a stay of enforcement thereof is not in effect, or (b) enforcement proceedings are commenced upon such judgment, order, or award;</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60" w:type="dxa"/>
            <w:vAlign w:val="bottom"/>
          </w:tcPr>
          <w:p>
            <w:pPr>
              <w:jc w:val="right"/>
              <w:ind w:right="250"/>
              <w:spacing w:after="0"/>
              <w:rPr>
                <w:sz w:val="20"/>
                <w:szCs w:val="20"/>
                <w:color w:val="auto"/>
              </w:rPr>
            </w:pPr>
            <w:r>
              <w:rPr>
                <w:rFonts w:ascii="Arial" w:cs="Arial" w:eastAsia="Arial" w:hAnsi="Arial"/>
                <w:sz w:val="18"/>
                <w:szCs w:val="18"/>
                <w:color w:val="010000"/>
                <w:w w:val="79"/>
              </w:rPr>
              <w:t>8.4</w:t>
            </w:r>
          </w:p>
        </w:tc>
        <w:tc>
          <w:tcPr>
            <w:tcW w:w="10020" w:type="dxa"/>
            <w:vAlign w:val="bottom"/>
            <w:gridSpan w:val="5"/>
          </w:tcPr>
          <w:p>
            <w:pPr>
              <w:ind w:left="340"/>
              <w:spacing w:after="0"/>
              <w:rPr>
                <w:sz w:val="20"/>
                <w:szCs w:val="20"/>
                <w:color w:val="auto"/>
              </w:rPr>
            </w:pPr>
            <w:r>
              <w:rPr>
                <w:rFonts w:ascii="Arial" w:cs="Arial" w:eastAsia="Arial" w:hAnsi="Arial"/>
                <w:sz w:val="18"/>
                <w:szCs w:val="18"/>
                <w:b w:val="1"/>
                <w:bCs w:val="1"/>
                <w:color w:val="auto"/>
                <w:w w:val="96"/>
              </w:rPr>
              <w:t xml:space="preserve">Voluntary Bankruptcy, etc. </w:t>
            </w:r>
            <w:r>
              <w:rPr>
                <w:rFonts w:ascii="Arial" w:cs="Arial" w:eastAsia="Arial" w:hAnsi="Arial"/>
                <w:sz w:val="18"/>
                <w:szCs w:val="18"/>
                <w:color w:val="auto"/>
                <w:w w:val="96"/>
              </w:rPr>
              <w:t>If an Insolvency Proceeding is commenced by a Loan Party or any of its Restricted Subsidiaries;</w:t>
            </w:r>
          </w:p>
        </w:tc>
      </w:tr>
      <w:tr>
        <w:trPr>
          <w:trHeight w:val="20"/>
        </w:trPr>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412"/>
        </w:trPr>
        <w:tc>
          <w:tcPr>
            <w:tcW w:w="560" w:type="dxa"/>
            <w:vAlign w:val="bottom"/>
          </w:tcPr>
          <w:p>
            <w:pPr>
              <w:jc w:val="right"/>
              <w:ind w:right="250"/>
              <w:spacing w:after="0"/>
              <w:rPr>
                <w:sz w:val="20"/>
                <w:szCs w:val="20"/>
                <w:color w:val="auto"/>
              </w:rPr>
            </w:pPr>
            <w:r>
              <w:rPr>
                <w:rFonts w:ascii="Arial" w:cs="Arial" w:eastAsia="Arial" w:hAnsi="Arial"/>
                <w:sz w:val="18"/>
                <w:szCs w:val="18"/>
                <w:color w:val="010000"/>
                <w:w w:val="79"/>
              </w:rPr>
              <w:t>8.5</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Arial" w:cs="Arial" w:eastAsia="Arial" w:hAnsi="Arial"/>
                <w:sz w:val="18"/>
                <w:szCs w:val="18"/>
                <w:b w:val="1"/>
                <w:bCs w:val="1"/>
                <w:color w:val="auto"/>
                <w:w w:val="91"/>
              </w:rPr>
              <w:t xml:space="preserve">Involuntary Bankruptcy, etc. </w:t>
            </w:r>
            <w:r>
              <w:rPr>
                <w:rFonts w:ascii="Arial" w:cs="Arial" w:eastAsia="Arial" w:hAnsi="Arial"/>
                <w:sz w:val="18"/>
                <w:szCs w:val="18"/>
                <w:color w:val="auto"/>
                <w:w w:val="91"/>
              </w:rPr>
              <w:t>If an Insolvency Proceeding is commenced against a Loan Party or any of its Restricted Subsidiaries</w:t>
            </w:r>
          </w:p>
        </w:tc>
      </w:tr>
      <w:tr>
        <w:trPr>
          <w:trHeight w:val="20"/>
        </w:trPr>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of the following events occur: (a) such Loan Party or such Restricted Subsidiary consents to the institution of such Insolvency Proceeding against it, (b) the petition commencing the Insolvency Proceeding is not timely controverted, (c) the petition commencing the Insolvency Proceeding is not dismissed within sixty calendar days of the date of the filing thereof, (d) an interim trustee is appointed to take possession of all or any substantial portion of the properties or assets of, or to operate all or any substantial portion of the business of, such Loan Party or its Restricted Subsidiary, or (e) an order for relief shall have been issued or entered therein;</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8.6 </w:t>
      </w:r>
      <w:r>
        <w:rPr>
          <w:rFonts w:ascii="Arial" w:cs="Arial" w:eastAsia="Arial" w:hAnsi="Arial"/>
          <w:sz w:val="18"/>
          <w:szCs w:val="18"/>
          <w:b w:val="1"/>
          <w:bCs w:val="1"/>
          <w:u w:val="single" w:color="auto"/>
          <w:color w:val="000000"/>
        </w:rPr>
        <w:t>Default Under Other Agreements</w:t>
      </w:r>
      <w:r>
        <w:rPr>
          <w:rFonts w:ascii="Arial" w:cs="Arial" w:eastAsia="Arial" w:hAnsi="Arial"/>
          <w:sz w:val="18"/>
          <w:szCs w:val="18"/>
          <w:color w:val="000000"/>
        </w:rPr>
        <w:t>. If there is a default in one or more agreements to which a Loan Party or any of its Restricted</w:t>
      </w:r>
      <w:r>
        <w:rPr>
          <w:rFonts w:ascii="Arial" w:cs="Arial" w:eastAsia="Arial" w:hAnsi="Arial"/>
          <w:sz w:val="18"/>
          <w:szCs w:val="18"/>
          <w:color w:val="010000"/>
        </w:rPr>
        <w:t xml:space="preserve"> </w:t>
      </w:r>
      <w:r>
        <w:rPr>
          <w:rFonts w:ascii="Arial" w:cs="Arial" w:eastAsia="Arial" w:hAnsi="Arial"/>
          <w:sz w:val="18"/>
          <w:szCs w:val="18"/>
          <w:color w:val="000000"/>
        </w:rPr>
        <w:t xml:space="preserve">Subsidiaries is a party with one or more third Persons relative to a Loan Party’s or any of its Restricted Subsidiaries’ Indebtedness involving an aggregate amount of $18,000,000 or more, and such default (a) occurs at the final maturity of the obligations thereunder, or (b) results in a right by such third Person, irrespective of whether exercised, to accelerate the maturity of such Loan Party’s or its Restricted Subsidiary’s obligations thereunder;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this </w:t>
      </w:r>
      <w:r>
        <w:rPr>
          <w:rFonts w:ascii="Arial" w:cs="Arial" w:eastAsia="Arial" w:hAnsi="Arial"/>
          <w:sz w:val="18"/>
          <w:szCs w:val="18"/>
          <w:u w:val="single" w:color="auto"/>
          <w:color w:val="000000"/>
        </w:rPr>
        <w:t>Section 8.6</w:t>
      </w:r>
      <w:r>
        <w:rPr>
          <w:rFonts w:ascii="Arial" w:cs="Arial" w:eastAsia="Arial" w:hAnsi="Arial"/>
          <w:sz w:val="18"/>
          <w:szCs w:val="18"/>
          <w:color w:val="000000"/>
        </w:rPr>
        <w:t xml:space="preserve">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jc w:val="both"/>
        <w:ind w:firstLine="648"/>
        <w:spacing w:after="0" w:line="258" w:lineRule="auto"/>
        <w:rPr>
          <w:sz w:val="20"/>
          <w:szCs w:val="20"/>
          <w:color w:val="auto"/>
        </w:rPr>
      </w:pPr>
      <w:r>
        <w:rPr>
          <w:rFonts w:ascii="Arial" w:cs="Arial" w:eastAsia="Arial" w:hAnsi="Arial"/>
          <w:sz w:val="18"/>
          <w:szCs w:val="18"/>
          <w:color w:val="010000"/>
        </w:rPr>
        <w:t xml:space="preserve">8.7 </w:t>
      </w:r>
      <w:r>
        <w:rPr>
          <w:rFonts w:ascii="Arial" w:cs="Arial" w:eastAsia="Arial" w:hAnsi="Arial"/>
          <w:sz w:val="18"/>
          <w:szCs w:val="18"/>
          <w:b w:val="1"/>
          <w:bCs w:val="1"/>
          <w:u w:val="single" w:color="auto"/>
          <w:color w:val="000000"/>
        </w:rPr>
        <w:t>Representations, etc.</w:t>
      </w:r>
      <w:r>
        <w:rPr>
          <w:rFonts w:ascii="Arial" w:cs="Arial" w:eastAsia="Arial" w:hAnsi="Arial"/>
          <w:sz w:val="18"/>
          <w:szCs w:val="18"/>
          <w:color w:val="010000"/>
        </w:rPr>
        <w:t xml:space="preserve"> </w:t>
      </w:r>
      <w:r>
        <w:rPr>
          <w:rFonts w:ascii="Arial" w:cs="Arial" w:eastAsia="Arial" w:hAnsi="Arial"/>
          <w:sz w:val="18"/>
          <w:szCs w:val="18"/>
          <w:color w:val="000000"/>
        </w:rPr>
        <w:t>If any warranty, representation, certificate, statement, or Record made herein or in any other Loan Document or</w:t>
      </w:r>
      <w:r>
        <w:rPr>
          <w:rFonts w:ascii="Arial" w:cs="Arial" w:eastAsia="Arial" w:hAnsi="Arial"/>
          <w:sz w:val="18"/>
          <w:szCs w:val="18"/>
          <w:color w:val="010000"/>
        </w:rPr>
        <w:t xml:space="preserve"> </w:t>
      </w:r>
      <w:r>
        <w:rPr>
          <w:rFonts w:ascii="Arial" w:cs="Arial" w:eastAsia="Arial" w:hAnsi="Arial"/>
          <w:sz w:val="18"/>
          <w:szCs w:val="18"/>
          <w:color w:val="000000"/>
        </w:rPr>
        <w:t>delivered in writing to Agent or any Lender in connection with this Agreement or any other Loan Document (other than any “Loan Document” as defined in the Existing Credit Agreement) proves to be untrue in any material respect (except that such materiality qualifier shall not be applicable to any representations and warranties that already are qualified or modified by materiality in the text thereof) as of the date of issuance or making or deemed making thereof;</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8.8 </w:t>
      </w:r>
      <w:r>
        <w:rPr>
          <w:rFonts w:ascii="Arial" w:cs="Arial" w:eastAsia="Arial" w:hAnsi="Arial"/>
          <w:sz w:val="18"/>
          <w:szCs w:val="18"/>
          <w:b w:val="1"/>
          <w:bCs w:val="1"/>
          <w:u w:val="single" w:color="auto"/>
          <w:color w:val="000000"/>
        </w:rPr>
        <w:t>Guaranty</w:t>
      </w:r>
      <w:r>
        <w:rPr>
          <w:rFonts w:ascii="Arial" w:cs="Arial" w:eastAsia="Arial" w:hAnsi="Arial"/>
          <w:sz w:val="18"/>
          <w:szCs w:val="18"/>
          <w:color w:val="000000"/>
        </w:rPr>
        <w:t>. If the obligation of any Guarantor under the guaranty contained in the Guaranty and Security Agreement is limited or</w:t>
      </w:r>
      <w:r>
        <w:rPr>
          <w:rFonts w:ascii="Arial" w:cs="Arial" w:eastAsia="Arial" w:hAnsi="Arial"/>
          <w:sz w:val="18"/>
          <w:szCs w:val="18"/>
          <w:color w:val="010000"/>
        </w:rPr>
        <w:t xml:space="preserve"> </w:t>
      </w:r>
      <w:r>
        <w:rPr>
          <w:rFonts w:ascii="Arial" w:cs="Arial" w:eastAsia="Arial" w:hAnsi="Arial"/>
          <w:sz w:val="18"/>
          <w:szCs w:val="18"/>
          <w:color w:val="000000"/>
        </w:rPr>
        <w:t>terminated by operation of law or by such Guarantor (other than in accordance with the terms of this Agreement) or if any Guarantor repudiates or revokes or purports to repudiate or revoke any such guaranty;</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010000"/>
        </w:rPr>
        <w:t xml:space="preserve">8.9 </w:t>
      </w:r>
      <w:r>
        <w:rPr>
          <w:rFonts w:ascii="Arial" w:cs="Arial" w:eastAsia="Arial" w:hAnsi="Arial"/>
          <w:sz w:val="18"/>
          <w:szCs w:val="18"/>
          <w:b w:val="1"/>
          <w:bCs w:val="1"/>
          <w:u w:val="single" w:color="auto"/>
          <w:color w:val="000000"/>
        </w:rPr>
        <w:t>Security Documents</w:t>
      </w:r>
      <w:r>
        <w:rPr>
          <w:rFonts w:ascii="Arial" w:cs="Arial" w:eastAsia="Arial" w:hAnsi="Arial"/>
          <w:sz w:val="18"/>
          <w:szCs w:val="18"/>
          <w:color w:val="000000"/>
        </w:rPr>
        <w:t>. If the Guaranty and Security Agreement or any other Loan Document that purports to create a Lien, shall, for</w:t>
      </w:r>
      <w:r>
        <w:rPr>
          <w:rFonts w:ascii="Arial" w:cs="Arial" w:eastAsia="Arial" w:hAnsi="Arial"/>
          <w:sz w:val="18"/>
          <w:szCs w:val="18"/>
          <w:color w:val="010000"/>
        </w:rPr>
        <w:t xml:space="preserve"> </w:t>
      </w:r>
      <w:r>
        <w:rPr>
          <w:rFonts w:ascii="Arial" w:cs="Arial" w:eastAsia="Arial" w:hAnsi="Arial"/>
          <w:sz w:val="18"/>
          <w:szCs w:val="18"/>
          <w:color w:val="000000"/>
        </w:rPr>
        <w:t>any reason, fail or cease to create a valid and perfected and, (except to the extent of Specified Permitted Liens) first priority Lien on the Collateral covered thereby, except as a result of (a) a disposition of the applicable Collateral in a transaction permitted under this Agreement; or (b) an action taken or not taken that is solely in the control of Agent.</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010000"/>
        </w:rPr>
        <w:t xml:space="preserve">8.10 </w:t>
      </w:r>
      <w:r>
        <w:rPr>
          <w:rFonts w:ascii="Arial" w:cs="Arial" w:eastAsia="Arial" w:hAnsi="Arial"/>
          <w:sz w:val="18"/>
          <w:szCs w:val="18"/>
          <w:b w:val="1"/>
          <w:bCs w:val="1"/>
          <w:u w:val="single" w:color="auto"/>
          <w:color w:val="000000"/>
        </w:rPr>
        <w:t>Loan Documents</w:t>
      </w:r>
      <w:r>
        <w:rPr>
          <w:rFonts w:ascii="Arial" w:cs="Arial" w:eastAsia="Arial" w:hAnsi="Arial"/>
          <w:sz w:val="18"/>
          <w:szCs w:val="18"/>
          <w:color w:val="000000"/>
        </w:rPr>
        <w:t>. The validity or enforceability of any Loan Document shall at any time for any reason (other than solely as the result</w:t>
      </w:r>
      <w:r>
        <w:rPr>
          <w:rFonts w:ascii="Arial" w:cs="Arial" w:eastAsia="Arial" w:hAnsi="Arial"/>
          <w:sz w:val="18"/>
          <w:szCs w:val="18"/>
          <w:color w:val="010000"/>
        </w:rPr>
        <w:t xml:space="preserve"> </w:t>
      </w:r>
      <w:r>
        <w:rPr>
          <w:rFonts w:ascii="Arial" w:cs="Arial" w:eastAsia="Arial" w:hAnsi="Arial"/>
          <w:sz w:val="18"/>
          <w:szCs w:val="18"/>
          <w:color w:val="000000"/>
        </w:rPr>
        <w:t>of an action or failure to act on the part of Agent) be declared to be null and void, or a proceeding shall be commenced by a Loan Party or its Subsidiaries, or by any Governmental Authority having jurisdiction over a Loan Party or its Subsidiaries, seeking to establish the invalidity or unenforceability thereof, or a Loan Party or its Subsidiaries shall deny that such Loan Party or its Subsidiaries has any liability or obligation purported to be created under any Loan Document;</w:t>
      </w:r>
    </w:p>
    <w:p>
      <w:pPr>
        <w:spacing w:after="0" w:line="18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8.11</w:t>
      </w:r>
      <w:r>
        <w:rPr>
          <w:sz w:val="20"/>
          <w:szCs w:val="20"/>
          <w:color w:val="auto"/>
        </w:rPr>
        <w:tab/>
      </w:r>
      <w:r>
        <w:rPr>
          <w:rFonts w:ascii="Arial" w:cs="Arial" w:eastAsia="Arial" w:hAnsi="Arial"/>
          <w:sz w:val="16"/>
          <w:szCs w:val="16"/>
          <w:b w:val="1"/>
          <w:bCs w:val="1"/>
          <w:u w:val="single" w:color="auto"/>
          <w:color w:val="auto"/>
        </w:rPr>
        <w:t xml:space="preserve">Change of Control </w:t>
      </w:r>
      <w:r>
        <w:rPr>
          <w:rFonts w:ascii="Arial" w:cs="Arial" w:eastAsia="Arial" w:hAnsi="Arial"/>
          <w:sz w:val="16"/>
          <w:szCs w:val="16"/>
          <w:color w:val="auto"/>
        </w:rPr>
        <w:t>. A Change of Control shall occur, whether directly or indirectly; or</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010000"/>
        </w:rPr>
        <w:t xml:space="preserve">8.12 </w:t>
      </w:r>
      <w:r>
        <w:rPr>
          <w:rFonts w:ascii="Arial" w:cs="Arial" w:eastAsia="Arial" w:hAnsi="Arial"/>
          <w:sz w:val="18"/>
          <w:szCs w:val="18"/>
          <w:b w:val="1"/>
          <w:bCs w:val="1"/>
          <w:u w:val="single" w:color="auto"/>
          <w:color w:val="000000"/>
        </w:rPr>
        <w:t>ERISA</w:t>
      </w:r>
      <w:r>
        <w:rPr>
          <w:rFonts w:ascii="Arial" w:cs="Arial" w:eastAsia="Arial" w:hAnsi="Arial"/>
          <w:sz w:val="18"/>
          <w:szCs w:val="18"/>
          <w:color w:val="000000"/>
        </w:rPr>
        <w:t>. (i) Any “accumulated funding deficiency” (as defined in Section 302 of ERISA), whether or not waived, shall exist with</w:t>
      </w:r>
      <w:r>
        <w:rPr>
          <w:rFonts w:ascii="Arial" w:cs="Arial" w:eastAsia="Arial" w:hAnsi="Arial"/>
          <w:sz w:val="18"/>
          <w:szCs w:val="18"/>
          <w:color w:val="010000"/>
        </w:rPr>
        <w:t xml:space="preserve"> </w:t>
      </w:r>
      <w:r>
        <w:rPr>
          <w:rFonts w:ascii="Arial" w:cs="Arial" w:eastAsia="Arial" w:hAnsi="Arial"/>
          <w:sz w:val="18"/>
          <w:szCs w:val="18"/>
          <w:color w:val="000000"/>
        </w:rPr>
        <w:t>respect to any Plan, (ii) any Lien in favor of the PBGC or a Title IV Plan shall arise against the assets of Borrower or any of its Subsidiaries, (iii) any Borrower or ERISA Affiliate fails to meet the minimum funding standards of the IRC or ERISA with respect to a Title IV Plan, or (iv) any ERISA Event shall occur or exist; and in each case in clauses (i) through (iv) above, such event or condition, together with all other such events or conditions, if any, could reasonably be expected to have a Material Adverse Effect.</w:t>
      </w:r>
    </w:p>
    <w:p>
      <w:pPr>
        <w:spacing w:after="0" w:line="183" w:lineRule="exact"/>
        <w:rPr>
          <w:sz w:val="20"/>
          <w:szCs w:val="20"/>
          <w:color w:val="auto"/>
        </w:rPr>
      </w:pPr>
    </w:p>
    <w:p>
      <w:pPr>
        <w:ind w:left="1000" w:hanging="992"/>
        <w:spacing w:after="0"/>
        <w:tabs>
          <w:tab w:leader="none" w:pos="1000" w:val="left"/>
        </w:tabs>
        <w:numPr>
          <w:ilvl w:val="0"/>
          <w:numId w:val="155"/>
        </w:numPr>
        <w:rPr>
          <w:rFonts w:ascii="Arial" w:cs="Arial" w:eastAsia="Arial" w:hAnsi="Arial"/>
          <w:sz w:val="18"/>
          <w:szCs w:val="18"/>
          <w:color w:val="010000"/>
        </w:rPr>
      </w:pPr>
      <w:r>
        <w:rPr>
          <w:rFonts w:ascii="Arial" w:cs="Arial" w:eastAsia="Arial" w:hAnsi="Arial"/>
          <w:sz w:val="18"/>
          <w:szCs w:val="18"/>
          <w:b w:val="1"/>
          <w:bCs w:val="1"/>
          <w:color w:val="auto"/>
        </w:rPr>
        <w:t>RIGHTS AND REMEDIES.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9.1 </w:t>
      </w:r>
      <w:r>
        <w:rPr>
          <w:rFonts w:ascii="Arial" w:cs="Arial" w:eastAsia="Arial" w:hAnsi="Arial"/>
          <w:sz w:val="18"/>
          <w:szCs w:val="18"/>
          <w:b w:val="1"/>
          <w:bCs w:val="1"/>
          <w:u w:val="single" w:color="auto"/>
          <w:color w:val="000000"/>
        </w:rPr>
        <w:t>Rights and Remedies</w:t>
      </w:r>
      <w:r>
        <w:rPr>
          <w:rFonts w:ascii="Arial" w:cs="Arial" w:eastAsia="Arial" w:hAnsi="Arial"/>
          <w:sz w:val="18"/>
          <w:szCs w:val="18"/>
          <w:color w:val="000000"/>
        </w:rPr>
        <w:t>. Upon the occurrence and during the continuation of an Event of Default, Agent may, and, at the instruction of</w:t>
      </w:r>
      <w:r>
        <w:rPr>
          <w:rFonts w:ascii="Arial" w:cs="Arial" w:eastAsia="Arial" w:hAnsi="Arial"/>
          <w:sz w:val="18"/>
          <w:szCs w:val="18"/>
          <w:color w:val="010000"/>
        </w:rPr>
        <w:t xml:space="preserve"> </w:t>
      </w:r>
      <w:r>
        <w:rPr>
          <w:rFonts w:ascii="Arial" w:cs="Arial" w:eastAsia="Arial" w:hAnsi="Arial"/>
          <w:sz w:val="18"/>
          <w:szCs w:val="18"/>
          <w:color w:val="000000"/>
        </w:rPr>
        <w:t>the Required Lenders, shall, in addition to any other rights or remedies provided for hereunder or under any other Loan Document or by applicable law, do any one or more of the following: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firstLine="1304"/>
        <w:spacing w:after="0" w:line="254" w:lineRule="auto"/>
        <w:tabs>
          <w:tab w:leader="none" w:pos="2215" w:val="left"/>
        </w:tabs>
        <w:numPr>
          <w:ilvl w:val="0"/>
          <w:numId w:val="156"/>
        </w:numPr>
        <w:rPr>
          <w:rFonts w:ascii="Arial" w:cs="Arial" w:eastAsia="Arial" w:hAnsi="Arial"/>
          <w:sz w:val="18"/>
          <w:szCs w:val="18"/>
          <w:color w:val="010000"/>
        </w:rPr>
      </w:pPr>
      <w:r>
        <w:rPr>
          <w:rFonts w:ascii="Arial" w:cs="Arial" w:eastAsia="Arial" w:hAnsi="Arial"/>
          <w:sz w:val="18"/>
          <w:szCs w:val="18"/>
          <w:color w:val="auto"/>
        </w:rPr>
        <w:t>by written notice to Borrowers, (i) declare the principal of, and any and all accrued and unpaid interest and fees in respect of, the Loans and all other Obligations (other than the Bank Product Obligations), whether evidenced by this Agreement or by any of the other Loan Documents to be immediately due and payable, whereupon the same shall become and be immediately due and payable and Borrowers shall be obligated to repay all of such Obligations in full, without presentment, demand, protest, or further notice or other requirements of any kind, all of which are hereby expressly waived by each Borrower, and (ii) direct Borrowers to provide (and Borrowers agree that upon receipt of such notice Borrowers will provide) Letter of Credit Collateralization to Agent to be held as security for Borrowers’ reimbursement obligations for drawings that may subsequently occur under issued and outstanding Letters of Credit;</w:t>
      </w:r>
    </w:p>
    <w:p>
      <w:pPr>
        <w:spacing w:after="0" w:line="194" w:lineRule="exact"/>
        <w:rPr>
          <w:rFonts w:ascii="Arial" w:cs="Arial" w:eastAsia="Arial" w:hAnsi="Arial"/>
          <w:sz w:val="18"/>
          <w:szCs w:val="18"/>
          <w:color w:val="010000"/>
        </w:rPr>
      </w:pPr>
    </w:p>
    <w:p>
      <w:pPr>
        <w:jc w:val="both"/>
        <w:ind w:right="20" w:firstLine="1304"/>
        <w:spacing w:after="0" w:line="263" w:lineRule="auto"/>
        <w:tabs>
          <w:tab w:leader="none" w:pos="2374" w:val="left"/>
        </w:tabs>
        <w:numPr>
          <w:ilvl w:val="0"/>
          <w:numId w:val="156"/>
        </w:numPr>
        <w:rPr>
          <w:rFonts w:ascii="Arial" w:cs="Arial" w:eastAsia="Arial" w:hAnsi="Arial"/>
          <w:sz w:val="18"/>
          <w:szCs w:val="18"/>
          <w:color w:val="010000"/>
        </w:rPr>
      </w:pPr>
      <w:r>
        <w:rPr>
          <w:rFonts w:ascii="Arial" w:cs="Arial" w:eastAsia="Arial" w:hAnsi="Arial"/>
          <w:sz w:val="18"/>
          <w:szCs w:val="18"/>
          <w:color w:val="auto"/>
        </w:rPr>
        <w:t>by written notice to Borrowers, declare the Commitments terminated, whereupon the Commitments shall immediately be terminated together with (i) any obligation of any Revolving Lender to make Revolving Loans, (ii) the obligation of the Swing Lender to make Swing Loans, and (iii) the obligation of Issuing Bank to issue Letters of Credit; and</w:t>
      </w:r>
    </w:p>
    <w:p>
      <w:pPr>
        <w:spacing w:after="0" w:line="183" w:lineRule="exact"/>
        <w:rPr>
          <w:rFonts w:ascii="Arial" w:cs="Arial" w:eastAsia="Arial" w:hAnsi="Arial"/>
          <w:sz w:val="18"/>
          <w:szCs w:val="18"/>
          <w:color w:val="010000"/>
        </w:rPr>
      </w:pPr>
    </w:p>
    <w:p>
      <w:pPr>
        <w:jc w:val="both"/>
        <w:ind w:firstLine="1304"/>
        <w:spacing w:after="0" w:line="275" w:lineRule="auto"/>
        <w:tabs>
          <w:tab w:leader="none" w:pos="2242" w:val="left"/>
        </w:tabs>
        <w:numPr>
          <w:ilvl w:val="0"/>
          <w:numId w:val="156"/>
        </w:numPr>
        <w:rPr>
          <w:rFonts w:ascii="Arial" w:cs="Arial" w:eastAsia="Arial" w:hAnsi="Arial"/>
          <w:sz w:val="17"/>
          <w:szCs w:val="17"/>
          <w:color w:val="010000"/>
        </w:rPr>
      </w:pPr>
      <w:r>
        <w:rPr>
          <w:rFonts w:ascii="Arial" w:cs="Arial" w:eastAsia="Arial" w:hAnsi="Arial"/>
          <w:sz w:val="17"/>
          <w:szCs w:val="17"/>
          <w:color w:val="auto"/>
        </w:rPr>
        <w:t xml:space="preserve">exercise all other rights and remedies available to Agent or the Lenders under the Loan Documents, under applicable law, or in equity;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Event of Default resulting solely from failure of Borrowers to comply with the financial covenant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neither Agent nor the Required Lenders may exercise the foregoing remedies in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until the date that is the earlier of (i) ten Business Days after the day on which financial statements are required to be delivered for the applicable fiscal quarter, and (ii) the date that Agent receives notice that there will not be a Curative Equity contribution made for such fiscal quarter.</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foregoing to the contrary notwithstanding, upon the occurrence of any Event of Default described in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8.5</w:t>
      </w:r>
      <w:r>
        <w:rPr>
          <w:rFonts w:ascii="Arial" w:cs="Arial" w:eastAsia="Arial" w:hAnsi="Arial"/>
          <w:sz w:val="18"/>
          <w:szCs w:val="18"/>
          <w:color w:val="auto"/>
        </w:rPr>
        <w:t>, in addition to the remedies set forth above, without any notice to Borrowers or any other Person or any act by the Lender Group, the Commitments shall automatically terminate and the Obligations (other than the Bank Product Obligations), inclusive of the principal of, and any and all accrued and unpaid interest and fees in respect of, the Loans and all other Obligations (other than the Bank Product Obligations), whether evidenced by this Agreement or by any of the other Loan Documents, shall automatically become and be immediately due and payable and Borrowers shall automatically be obligated to repay all of such Obligations in full (including Borrowers being obligated to provide (and Borrowers agree that they will provide) (1) Letter of Credit Collateralization to Agent to be held as security for Borrowers’ reimbursement obligations in respect of drawings that may subsequently occur under issued and outstanding Letters of Credit and (2) Bank Product Collateralization to be held as security for Borrowers’ or their Subsidiaries’ obligations in respect of outstanding Bank Products), without presentment, demand, protest, or notice or other requirements of any kind, all of which are expressly waived by Parent and Borrowers.</w:t>
      </w:r>
    </w:p>
    <w:p>
      <w:pPr>
        <w:spacing w:after="0" w:line="19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010000"/>
        </w:rPr>
        <w:t xml:space="preserve">9.2 </w:t>
      </w:r>
      <w:r>
        <w:rPr>
          <w:rFonts w:ascii="Arial" w:cs="Arial" w:eastAsia="Arial" w:hAnsi="Arial"/>
          <w:sz w:val="16"/>
          <w:szCs w:val="16"/>
          <w:b w:val="1"/>
          <w:bCs w:val="1"/>
          <w:u w:val="single" w:color="auto"/>
          <w:color w:val="000000"/>
        </w:rPr>
        <w:t>Remedies Cumulative</w:t>
      </w:r>
      <w:r>
        <w:rPr>
          <w:rFonts w:ascii="Arial" w:cs="Arial" w:eastAsia="Arial" w:hAnsi="Arial"/>
          <w:sz w:val="16"/>
          <w:szCs w:val="16"/>
          <w:color w:val="000000"/>
        </w:rPr>
        <w:t>. The rights and remedies of the Lender Group under this Agreement, the other Loan Documents, and all other</w:t>
      </w:r>
      <w:r>
        <w:rPr>
          <w:rFonts w:ascii="Arial" w:cs="Arial" w:eastAsia="Arial" w:hAnsi="Arial"/>
          <w:sz w:val="16"/>
          <w:szCs w:val="16"/>
          <w:color w:val="010000"/>
        </w:rPr>
        <w:t xml:space="preserve"> </w:t>
      </w:r>
      <w:r>
        <w:rPr>
          <w:rFonts w:ascii="Arial" w:cs="Arial" w:eastAsia="Arial" w:hAnsi="Arial"/>
          <w:sz w:val="16"/>
          <w:szCs w:val="16"/>
          <w:color w:val="000000"/>
        </w:rPr>
        <w:t>agreements shall be cumulative. The Lender Group shall have all other rights and remedies not inconsistent herewith as provided under the Code, by law, or in equity. No exercise by the Lender Group of one right or remedy shall be deemed an election, and no waiver by the Lender Group of any Default or Event of Default shall be deemed a continuing waiver. No delay by the Lender Group shall constitute a waiver, election, or acquiescence by it.</w:t>
      </w:r>
    </w:p>
    <w:p>
      <w:pPr>
        <w:spacing w:after="0" w:line="151"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010000"/>
        </w:rPr>
        <w:t>9.3</w:t>
      </w:r>
      <w:r>
        <w:rPr>
          <w:sz w:val="20"/>
          <w:szCs w:val="20"/>
          <w:color w:val="auto"/>
        </w:rPr>
        <w:tab/>
      </w:r>
      <w:r>
        <w:rPr>
          <w:rFonts w:ascii="Arial" w:cs="Arial" w:eastAsia="Arial" w:hAnsi="Arial"/>
          <w:sz w:val="16"/>
          <w:szCs w:val="16"/>
          <w:b w:val="1"/>
          <w:bCs w:val="1"/>
          <w:u w:val="single" w:color="auto"/>
          <w:color w:val="auto"/>
        </w:rPr>
        <w:t>Curative Equity</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91" w:lineRule="auto"/>
        <w:tabs>
          <w:tab w:leader="none" w:pos="2269" w:val="left"/>
        </w:tabs>
        <w:numPr>
          <w:ilvl w:val="0"/>
          <w:numId w:val="157"/>
        </w:numPr>
        <w:rPr>
          <w:rFonts w:ascii="Arial" w:cs="Arial" w:eastAsia="Arial" w:hAnsi="Arial"/>
          <w:sz w:val="16"/>
          <w:szCs w:val="16"/>
          <w:color w:val="010000"/>
        </w:rPr>
      </w:pPr>
      <w:r>
        <w:rPr>
          <w:rFonts w:ascii="Arial" w:cs="Arial" w:eastAsia="Arial" w:hAnsi="Arial"/>
          <w:sz w:val="16"/>
          <w:szCs w:val="16"/>
          <w:color w:val="auto"/>
        </w:rPr>
        <w:t xml:space="preserve">Subject to the limitations set forth in clauses (d) and (e) below, Borrowers may cure (and shall be deemed to have cured) an Event of Default arising out of a breach of the financial covenant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Specified Financial Covenant</w:t>
      </w:r>
      <w:r>
        <w:rPr>
          <w:rFonts w:ascii="Arial" w:cs="Arial" w:eastAsia="Arial" w:hAnsi="Arial"/>
          <w:sz w:val="16"/>
          <w:szCs w:val="16"/>
          <w:color w:val="auto"/>
        </w:rPr>
        <w:t>”) if they receive the cash proceeds of an investment of Curative Equity on or before the date that is ten Business Days after the date that is the earlier to occur of (i) the date on which the Compliance Certificate is delivered to Agent in respect of the fiscal quarter with respect to which any such breach occurred (the “</w:t>
      </w:r>
      <w:r>
        <w:rPr>
          <w:rFonts w:ascii="Arial" w:cs="Arial" w:eastAsia="Arial" w:hAnsi="Arial"/>
          <w:sz w:val="16"/>
          <w:szCs w:val="16"/>
          <w:u w:val="single" w:color="auto"/>
          <w:color w:val="auto"/>
        </w:rPr>
        <w:t>Specified Fiscal</w:t>
      </w:r>
      <w:r>
        <w:rPr>
          <w:rFonts w:ascii="Arial" w:cs="Arial" w:eastAsia="Arial" w:hAnsi="Arial"/>
          <w:sz w:val="16"/>
          <w:szCs w:val="16"/>
          <w:color w:val="auto"/>
        </w:rPr>
        <w:t xml:space="preserve"> </w:t>
      </w:r>
      <w:r>
        <w:rPr>
          <w:rFonts w:ascii="Arial" w:cs="Arial" w:eastAsia="Arial" w:hAnsi="Arial"/>
          <w:sz w:val="16"/>
          <w:szCs w:val="16"/>
          <w:u w:val="single" w:color="auto"/>
          <w:color w:val="auto"/>
        </w:rPr>
        <w:t>Quarter</w:t>
      </w:r>
      <w:r>
        <w:rPr>
          <w:rFonts w:ascii="Arial" w:cs="Arial" w:eastAsia="Arial" w:hAnsi="Arial"/>
          <w:sz w:val="16"/>
          <w:szCs w:val="16"/>
          <w:color w:val="auto"/>
        </w:rPr>
        <w:t xml:space="preserve">”), and (ii) the date on which the Compliance Certificate is required to be delivered to Agent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in respect of the Specified Fiscal Quarter (such earlier date, the “</w:t>
      </w:r>
      <w:r>
        <w:rPr>
          <w:rFonts w:ascii="Arial" w:cs="Arial" w:eastAsia="Arial" w:hAnsi="Arial"/>
          <w:sz w:val="16"/>
          <w:szCs w:val="16"/>
          <w:u w:val="single" w:color="auto"/>
          <w:color w:val="auto"/>
        </w:rPr>
        <w:t>Financial Statement Delivery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Borrowers’ right to so cure an Event of Default shall be contingent on their timely delivery of such Compliance Certificate and financial statements for the Specified Fiscal Quarter as required under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jc w:val="both"/>
        <w:ind w:firstLine="1304"/>
        <w:spacing w:after="0" w:line="289" w:lineRule="auto"/>
        <w:tabs>
          <w:tab w:leader="none" w:pos="2279" w:val="left"/>
        </w:tabs>
        <w:numPr>
          <w:ilvl w:val="0"/>
          <w:numId w:val="158"/>
        </w:numPr>
        <w:rPr>
          <w:rFonts w:ascii="Arial" w:cs="Arial" w:eastAsia="Arial" w:hAnsi="Arial"/>
          <w:sz w:val="16"/>
          <w:szCs w:val="16"/>
          <w:color w:val="010000"/>
        </w:rPr>
      </w:pPr>
      <w:r>
        <w:rPr>
          <w:rFonts w:ascii="Arial" w:cs="Arial" w:eastAsia="Arial" w:hAnsi="Arial"/>
          <w:sz w:val="16"/>
          <w:szCs w:val="16"/>
          <w:color w:val="auto"/>
        </w:rPr>
        <w:t xml:space="preserve">In connection with a cure of an Event of Default under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on or before the Financial Statement Delivery Date for the Specified Fiscal Quarter, Borrowers shall deliver to Agent a certification of an Authorized Person which contains, or Borrowers shall include in the Compliance Certificate for the Specified Fiscal Quarter: (i) an indication that Borrowers will receive proceeds of Curative Equity for the Specified Fiscal Quarter and a statement setting forth the anticipated amount of such proceeds, (ii) a calculation of the financial results or prospective financial results of Borrowers for the Specified Fiscal Quarter (including for such purposes the proceeds of the Curative Equity (broken out separately) as deemed EBITDA as if received on such date), which shall confirm that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taking into account the receipt of the Curative Equity proceeds, Borrowers would have been or will be in compliance with the Specified Financial Covenant for the Specified Fiscal Quarter, (iii) [reserved], and (iv) a certification that any amount of the cash proceeds of the equity investment in excess of the amount that is sufficient to cause Borrowers to be in compliance with the Specified Financial Covenant for the Specified Fiscal Quarter shall not be included in the calculation of EBITDA for any fiscal quarter.</w:t>
      </w:r>
    </w:p>
    <w:p>
      <w:pPr>
        <w:spacing w:after="0" w:line="166" w:lineRule="exact"/>
        <w:rPr>
          <w:rFonts w:ascii="Arial" w:cs="Arial" w:eastAsia="Arial" w:hAnsi="Arial"/>
          <w:sz w:val="16"/>
          <w:szCs w:val="16"/>
          <w:color w:val="010000"/>
        </w:rPr>
      </w:pPr>
    </w:p>
    <w:p>
      <w:pPr>
        <w:ind w:left="2220" w:hanging="916"/>
        <w:spacing w:after="0"/>
        <w:tabs>
          <w:tab w:leader="none" w:pos="2220" w:val="left"/>
        </w:tabs>
        <w:numPr>
          <w:ilvl w:val="0"/>
          <w:numId w:val="158"/>
        </w:numPr>
        <w:rPr>
          <w:rFonts w:ascii="Arial" w:cs="Arial" w:eastAsia="Arial" w:hAnsi="Arial"/>
          <w:sz w:val="18"/>
          <w:szCs w:val="18"/>
          <w:color w:val="010000"/>
        </w:rPr>
      </w:pPr>
      <w:r>
        <w:rPr>
          <w:rFonts w:ascii="Arial" w:cs="Arial" w:eastAsia="Arial" w:hAnsi="Arial"/>
          <w:sz w:val="18"/>
          <w:szCs w:val="18"/>
          <w:color w:val="auto"/>
        </w:rPr>
        <w:t>Borrowers shall promptly notify Agent of its receipt of any proceeds of Curative Equity.</w:t>
      </w:r>
    </w:p>
    <w:p>
      <w:pPr>
        <w:spacing w:after="0" w:line="225" w:lineRule="exact"/>
        <w:rPr>
          <w:rFonts w:ascii="Arial" w:cs="Arial" w:eastAsia="Arial" w:hAnsi="Arial"/>
          <w:sz w:val="18"/>
          <w:szCs w:val="18"/>
          <w:color w:val="010000"/>
        </w:rPr>
      </w:pPr>
    </w:p>
    <w:p>
      <w:pPr>
        <w:jc w:val="both"/>
        <w:ind w:firstLine="1304"/>
        <w:spacing w:after="0" w:line="263" w:lineRule="auto"/>
        <w:tabs>
          <w:tab w:leader="none" w:pos="2374" w:val="left"/>
        </w:tabs>
        <w:numPr>
          <w:ilvl w:val="0"/>
          <w:numId w:val="158"/>
        </w:numPr>
        <w:rPr>
          <w:rFonts w:ascii="Arial" w:cs="Arial" w:eastAsia="Arial" w:hAnsi="Arial"/>
          <w:sz w:val="18"/>
          <w:szCs w:val="18"/>
          <w:color w:val="010000"/>
        </w:rPr>
      </w:pPr>
      <w:r>
        <w:rPr>
          <w:rFonts w:ascii="Arial" w:cs="Arial" w:eastAsia="Arial" w:hAnsi="Arial"/>
          <w:sz w:val="18"/>
          <w:szCs w:val="18"/>
          <w:color w:val="auto"/>
        </w:rPr>
        <w:t>Any investment of Curative Equity shall be in immediately available funds and shall be in an amount that is sufficient to cause Borrowers to be in compliance with the Specified Financial Covenant for the Specified Fiscal Quarter, calculated for such purpose as if such amount of Curative Equity were additional EBITDA of Parent as at such date.</w:t>
      </w:r>
    </w:p>
    <w:p>
      <w:pPr>
        <w:spacing w:after="0" w:line="183" w:lineRule="exact"/>
        <w:rPr>
          <w:rFonts w:ascii="Arial" w:cs="Arial" w:eastAsia="Arial" w:hAnsi="Arial"/>
          <w:sz w:val="18"/>
          <w:szCs w:val="18"/>
          <w:color w:val="010000"/>
        </w:rPr>
      </w:pPr>
    </w:p>
    <w:p>
      <w:pPr>
        <w:jc w:val="both"/>
        <w:ind w:firstLine="1304"/>
        <w:spacing w:after="0" w:line="296" w:lineRule="auto"/>
        <w:tabs>
          <w:tab w:leader="none" w:pos="2283" w:val="left"/>
        </w:tabs>
        <w:numPr>
          <w:ilvl w:val="0"/>
          <w:numId w:val="158"/>
        </w:numPr>
        <w:rPr>
          <w:rFonts w:ascii="Arial" w:cs="Arial" w:eastAsia="Arial" w:hAnsi="Arial"/>
          <w:sz w:val="16"/>
          <w:szCs w:val="16"/>
          <w:color w:val="010000"/>
        </w:rPr>
      </w:pPr>
      <w:r>
        <w:rPr>
          <w:rFonts w:ascii="Arial" w:cs="Arial" w:eastAsia="Arial" w:hAnsi="Arial"/>
          <w:sz w:val="16"/>
          <w:szCs w:val="16"/>
          <w:color w:val="auto"/>
        </w:rPr>
        <w:t xml:space="preserve">Notwithstanding anything to the contrary contained herein, regardless of whether an investment of Curative Equity is made prior to the applicable Financial Statement Delivery Date, Borrowers’ rights under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may (i) be exercised not more than four times during the term of this Agreement and (ii) not be exercised more than two times in any four fiscal quarter period. Regardless of whether an investment of Curative Equity is made prior to the applicable Financial Statement Delivery Date, any amount of Curative Equity that is in excess of the amount sufficient to cause Borrowers to be in compliance with all of the Specified Financial Covenants as at such date shall not constitute Curative Equity.</w:t>
      </w:r>
    </w:p>
    <w:p>
      <w:pPr>
        <w:spacing w:after="0" w:line="161" w:lineRule="exact"/>
        <w:rPr>
          <w:rFonts w:ascii="Arial" w:cs="Arial" w:eastAsia="Arial" w:hAnsi="Arial"/>
          <w:sz w:val="16"/>
          <w:szCs w:val="16"/>
          <w:color w:val="010000"/>
        </w:rPr>
      </w:pPr>
    </w:p>
    <w:p>
      <w:pPr>
        <w:jc w:val="both"/>
        <w:ind w:firstLine="1304"/>
        <w:spacing w:after="0" w:line="270" w:lineRule="auto"/>
        <w:tabs>
          <w:tab w:leader="none" w:pos="2254" w:val="left"/>
        </w:tabs>
        <w:numPr>
          <w:ilvl w:val="0"/>
          <w:numId w:val="158"/>
        </w:numPr>
        <w:rPr>
          <w:rFonts w:ascii="Arial" w:cs="Arial" w:eastAsia="Arial" w:hAnsi="Arial"/>
          <w:sz w:val="17"/>
          <w:szCs w:val="17"/>
          <w:color w:val="010000"/>
        </w:rPr>
      </w:pPr>
      <w:r>
        <w:rPr>
          <w:rFonts w:ascii="Arial" w:cs="Arial" w:eastAsia="Arial" w:hAnsi="Arial"/>
          <w:sz w:val="17"/>
          <w:szCs w:val="17"/>
          <w:color w:val="auto"/>
        </w:rPr>
        <w:t xml:space="preserve">If Borrowers have (i) delivered a certification or a Compliance Certificate conforming to the requirements of </w:t>
      </w:r>
      <w:r>
        <w:rPr>
          <w:rFonts w:ascii="Arial" w:cs="Arial" w:eastAsia="Arial" w:hAnsi="Arial"/>
          <w:sz w:val="17"/>
          <w:szCs w:val="17"/>
          <w:u w:val="single" w:color="auto"/>
          <w:color w:val="auto"/>
        </w:rPr>
        <w:t>Section 9.3(b)</w:t>
      </w:r>
      <w:r>
        <w:rPr>
          <w:rFonts w:ascii="Arial" w:cs="Arial" w:eastAsia="Arial" w:hAnsi="Arial"/>
          <w:sz w:val="17"/>
          <w:szCs w:val="17"/>
          <w:color w:val="auto"/>
        </w:rPr>
        <w:t xml:space="preserve">, and (ii) received proceeds of an investment of Curative Equity in immediately available funds on or before the deadline set forth in </w:t>
      </w:r>
      <w:r>
        <w:rPr>
          <w:rFonts w:ascii="Arial" w:cs="Arial" w:eastAsia="Arial" w:hAnsi="Arial"/>
          <w:sz w:val="17"/>
          <w:szCs w:val="17"/>
          <w:u w:val="single" w:color="auto"/>
          <w:color w:val="auto"/>
        </w:rPr>
        <w:t>Section 9.3(a)</w:t>
      </w:r>
      <w:r>
        <w:rPr>
          <w:rFonts w:ascii="Arial" w:cs="Arial" w:eastAsia="Arial" w:hAnsi="Arial"/>
          <w:sz w:val="17"/>
          <w:szCs w:val="17"/>
          <w:color w:val="auto"/>
        </w:rPr>
        <w:t xml:space="preserve"> and in an amount that is sufficient to cause Borrowers to be in compliance with the Specified Financial Covenant for the Specified Fiscal Quarter, any Event of Default that occurs or has occurred and is continuing as a result of a breach of the Specified Financial Covenant for the Specified Fiscal Quarter shall be deemed cured with no further action required by the Required Lenders. Prior to satisfaction of the foregoing requirements of this </w:t>
      </w:r>
      <w:r>
        <w:rPr>
          <w:rFonts w:ascii="Arial" w:cs="Arial" w:eastAsia="Arial" w:hAnsi="Arial"/>
          <w:sz w:val="17"/>
          <w:szCs w:val="17"/>
          <w:u w:val="single" w:color="auto"/>
          <w:color w:val="auto"/>
        </w:rPr>
        <w:t>Section 9.3(f)</w:t>
      </w:r>
      <w:r>
        <w:rPr>
          <w:rFonts w:ascii="Arial" w:cs="Arial" w:eastAsia="Arial" w:hAnsi="Arial"/>
          <w:sz w:val="17"/>
          <w:szCs w:val="17"/>
          <w:color w:val="auto"/>
        </w:rPr>
        <w:t xml:space="preserve">, any Event of Default that occurs or has occurred as a result of a breach of the Specified Financial Covenant shall be deemed to be continuing and, as a result, the Lenders (including the Swing Lender and the Issuing Bank) shall have no obligation to make additional loans or otherwise extend additional credit hereunder. In the event Borrowers do not cure all financial covenant violations as provided in this </w:t>
      </w:r>
      <w:r>
        <w:rPr>
          <w:rFonts w:ascii="Arial" w:cs="Arial" w:eastAsia="Arial" w:hAnsi="Arial"/>
          <w:sz w:val="17"/>
          <w:szCs w:val="17"/>
          <w:u w:val="single" w:color="auto"/>
          <w:color w:val="auto"/>
        </w:rPr>
        <w:t>Section 9.3</w:t>
      </w:r>
      <w:r>
        <w:rPr>
          <w:rFonts w:ascii="Arial" w:cs="Arial" w:eastAsia="Arial" w:hAnsi="Arial"/>
          <w:sz w:val="17"/>
          <w:szCs w:val="17"/>
          <w:color w:val="auto"/>
        </w:rPr>
        <w:t>, the existing Event(s) of Default shall continue unless waived in writing by the Required Lenders in accordance herewith.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6" w:name="page227"/>
    <w:bookmarkEnd w:id="226"/>
    <w:p>
      <w:pPr>
        <w:jc w:val="both"/>
        <w:ind w:firstLine="1304"/>
        <w:spacing w:after="0" w:line="291" w:lineRule="auto"/>
        <w:tabs>
          <w:tab w:leader="none" w:pos="2252" w:val="left"/>
        </w:tabs>
        <w:numPr>
          <w:ilvl w:val="1"/>
          <w:numId w:val="159"/>
        </w:numPr>
        <w:rPr>
          <w:rFonts w:ascii="Arial" w:cs="Arial" w:eastAsia="Arial" w:hAnsi="Arial"/>
          <w:sz w:val="16"/>
          <w:szCs w:val="16"/>
          <w:color w:val="010000"/>
        </w:rPr>
      </w:pPr>
      <w:r>
        <w:rPr>
          <w:rFonts w:ascii="Arial" w:cs="Arial" w:eastAsia="Arial" w:hAnsi="Arial"/>
          <w:sz w:val="16"/>
          <w:szCs w:val="16"/>
          <w:color w:val="auto"/>
        </w:rPr>
        <w:t xml:space="preserve">To the extent that Curative Equity is received and included in the calculation of the Specified Financial Covenant as deemed EBITDA for any fiscal quarter pursuant to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such Curative Equity shall be deemed to be EBITDA for purposes of determining compliance with the Specified Financial Covenant for subsequent periods that include such fiscal quarter. Curative Equity shall be disregarded for purposes of determining EBITDA for any pricing, financial covenant based conditions or any baskets with respect to the covenants contained in this Agreement. In addition, any Indebtedness so prepaid shall be deemed to remain outstanding for purposes of determining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or actual compliance with the Specified Financial Covenant or for determining any pricing, financial covenant based conditions or baskets with respect to the covenants contained in this Agreement, in each case in the Specified Fiscal Quarter or subsequent periods that include such Specified Fiscal Quarter.</w:t>
      </w:r>
    </w:p>
    <w:p>
      <w:pPr>
        <w:spacing w:after="0" w:line="162" w:lineRule="exact"/>
        <w:rPr>
          <w:rFonts w:ascii="Arial" w:cs="Arial" w:eastAsia="Arial" w:hAnsi="Arial"/>
          <w:sz w:val="16"/>
          <w:szCs w:val="16"/>
          <w:color w:val="010000"/>
        </w:rPr>
      </w:pPr>
    </w:p>
    <w:p>
      <w:pPr>
        <w:ind w:left="900" w:hanging="892"/>
        <w:spacing w:after="0"/>
        <w:tabs>
          <w:tab w:leader="none" w:pos="900" w:val="left"/>
        </w:tabs>
        <w:numPr>
          <w:ilvl w:val="0"/>
          <w:numId w:val="160"/>
        </w:numPr>
        <w:rPr>
          <w:rFonts w:ascii="Arial" w:cs="Arial" w:eastAsia="Arial" w:hAnsi="Arial"/>
          <w:sz w:val="18"/>
          <w:szCs w:val="18"/>
          <w:color w:val="010000"/>
        </w:rPr>
      </w:pPr>
      <w:r>
        <w:rPr>
          <w:rFonts w:ascii="Arial" w:cs="Arial" w:eastAsia="Arial" w:hAnsi="Arial"/>
          <w:sz w:val="18"/>
          <w:szCs w:val="18"/>
          <w:b w:val="1"/>
          <w:bCs w:val="1"/>
          <w:color w:val="auto"/>
        </w:rPr>
        <w:t>WAIVERS; INDEMNIFICATION.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10.1 </w:t>
      </w:r>
      <w:r>
        <w:rPr>
          <w:rFonts w:ascii="Arial" w:cs="Arial" w:eastAsia="Arial" w:hAnsi="Arial"/>
          <w:sz w:val="18"/>
          <w:szCs w:val="18"/>
          <w:b w:val="1"/>
          <w:bCs w:val="1"/>
          <w:u w:val="single" w:color="auto"/>
          <w:color w:val="000000"/>
        </w:rPr>
        <w:t>Demand; Protest; etc.</w:t>
      </w:r>
      <w:r>
        <w:rPr>
          <w:rFonts w:ascii="Arial" w:cs="Arial" w:eastAsia="Arial" w:hAnsi="Arial"/>
          <w:sz w:val="18"/>
          <w:szCs w:val="18"/>
          <w:color w:val="010000"/>
        </w:rPr>
        <w:t xml:space="preserve"> </w:t>
      </w:r>
      <w:r>
        <w:rPr>
          <w:rFonts w:ascii="Arial" w:cs="Arial" w:eastAsia="Arial" w:hAnsi="Arial"/>
          <w:sz w:val="18"/>
          <w:szCs w:val="18"/>
          <w:color w:val="000000"/>
        </w:rPr>
        <w:t>Each Borrower waives demand, protest, notice of protest, notice of default or dishonor, notice of payment and</w:t>
      </w:r>
      <w:r>
        <w:rPr>
          <w:rFonts w:ascii="Arial" w:cs="Arial" w:eastAsia="Arial" w:hAnsi="Arial"/>
          <w:sz w:val="18"/>
          <w:szCs w:val="18"/>
          <w:color w:val="010000"/>
        </w:rPr>
        <w:t xml:space="preserve"> </w:t>
      </w:r>
      <w:r>
        <w:rPr>
          <w:rFonts w:ascii="Arial" w:cs="Arial" w:eastAsia="Arial" w:hAnsi="Arial"/>
          <w:sz w:val="18"/>
          <w:szCs w:val="18"/>
          <w:color w:val="000000"/>
        </w:rPr>
        <w:t>nonpayment, nonpayment at maturity, release, compromise, settlement, extension, or renewal of documents, instruments, chattel paper, and guarantees at any time held by the Lender Group on which any Borrower may in any way be liable.</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010000"/>
        </w:rPr>
        <w:t xml:space="preserve">10.2 </w:t>
      </w:r>
      <w:r>
        <w:rPr>
          <w:rFonts w:ascii="Arial" w:cs="Arial" w:eastAsia="Arial" w:hAnsi="Arial"/>
          <w:sz w:val="18"/>
          <w:szCs w:val="18"/>
          <w:b w:val="1"/>
          <w:bCs w:val="1"/>
          <w:u w:val="single" w:color="auto"/>
          <w:color w:val="000000"/>
        </w:rPr>
        <w:t>The Lender Group’s Liability for Collateral</w:t>
      </w:r>
      <w:r>
        <w:rPr>
          <w:rFonts w:ascii="Arial" w:cs="Arial" w:eastAsia="Arial" w:hAnsi="Arial"/>
          <w:sz w:val="18"/>
          <w:szCs w:val="18"/>
          <w:color w:val="000000"/>
        </w:rPr>
        <w:t>. Each Borrower hereby agrees that: (a) so long as Agent complies with its obligations, if</w:t>
      </w:r>
      <w:r>
        <w:rPr>
          <w:rFonts w:ascii="Arial" w:cs="Arial" w:eastAsia="Arial" w:hAnsi="Arial"/>
          <w:sz w:val="18"/>
          <w:szCs w:val="18"/>
          <w:color w:val="010000"/>
        </w:rPr>
        <w:t xml:space="preserve"> </w:t>
      </w:r>
      <w:r>
        <w:rPr>
          <w:rFonts w:ascii="Arial" w:cs="Arial" w:eastAsia="Arial" w:hAnsi="Arial"/>
          <w:sz w:val="18"/>
          <w:szCs w:val="18"/>
          <w:color w:val="000000"/>
        </w:rPr>
        <w:t>any, under the Code, the Lender Group shall not in any way or manner be liable or responsible for: (i) the safekeeping of the Collateral, (ii) any loss or damage thereto occurring or arising in any manner or fashion from any cause, (iii) any diminution in the value thereof, or (iv) any act or default of any carrier, warehouseman, bailee, forwarding agency, or other Person, and (b) all risk of loss, damage, or destruction of the Collateral shall be borne by the Loan Parties.</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010000"/>
        </w:rPr>
        <w:t xml:space="preserve">10.3 </w:t>
      </w:r>
      <w:r>
        <w:rPr>
          <w:rFonts w:ascii="Arial" w:cs="Arial" w:eastAsia="Arial" w:hAnsi="Arial"/>
          <w:sz w:val="16"/>
          <w:szCs w:val="16"/>
          <w:b w:val="1"/>
          <w:bCs w:val="1"/>
          <w:u w:val="single" w:color="auto"/>
          <w:color w:val="000000"/>
        </w:rPr>
        <w:t>Indemnification</w:t>
      </w:r>
      <w:r>
        <w:rPr>
          <w:rFonts w:ascii="Arial" w:cs="Arial" w:eastAsia="Arial" w:hAnsi="Arial"/>
          <w:sz w:val="16"/>
          <w:szCs w:val="16"/>
          <w:color w:val="000000"/>
        </w:rPr>
        <w:t>. Each Borrower shall pay, indemnify, defend, and hold the Agent-Related Persons, the Lender-Related Persons, the</w:t>
      </w:r>
      <w:r>
        <w:rPr>
          <w:rFonts w:ascii="Arial" w:cs="Arial" w:eastAsia="Arial" w:hAnsi="Arial"/>
          <w:sz w:val="16"/>
          <w:szCs w:val="16"/>
          <w:color w:val="010000"/>
        </w:rPr>
        <w:t xml:space="preserve"> </w:t>
      </w:r>
      <w:r>
        <w:rPr>
          <w:rFonts w:ascii="Arial" w:cs="Arial" w:eastAsia="Arial" w:hAnsi="Arial"/>
          <w:sz w:val="16"/>
          <w:szCs w:val="16"/>
          <w:color w:val="000000"/>
        </w:rPr>
        <w:t>Issuing Bank, and each Participant (each, an “</w:t>
      </w:r>
      <w:r>
        <w:rPr>
          <w:rFonts w:ascii="Arial" w:cs="Arial" w:eastAsia="Arial" w:hAnsi="Arial"/>
          <w:sz w:val="16"/>
          <w:szCs w:val="16"/>
          <w:u w:val="single" w:color="auto"/>
          <w:color w:val="000000"/>
        </w:rPr>
        <w:t>Indemnified Person</w:t>
      </w:r>
      <w:r>
        <w:rPr>
          <w:rFonts w:ascii="Arial" w:cs="Arial" w:eastAsia="Arial" w:hAnsi="Arial"/>
          <w:sz w:val="16"/>
          <w:szCs w:val="16"/>
          <w:color w:val="000000"/>
        </w:rPr>
        <w:t>”) harmless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at any time asserted against, imposed upon, or incurred by any of them (a) in connection with or as a result of or related to the execution and delivery (</w:t>
      </w:r>
      <w:r>
        <w:rPr>
          <w:rFonts w:ascii="Arial" w:cs="Arial" w:eastAsia="Arial" w:hAnsi="Arial"/>
          <w:sz w:val="16"/>
          <w:szCs w:val="16"/>
          <w:u w:val="single" w:color="auto"/>
          <w:color w:val="000000"/>
        </w:rPr>
        <w:t>provided</w:t>
      </w:r>
      <w:r>
        <w:rPr>
          <w:rFonts w:ascii="Arial" w:cs="Arial" w:eastAsia="Arial" w:hAnsi="Arial"/>
          <w:sz w:val="16"/>
          <w:szCs w:val="16"/>
          <w:color w:val="000000"/>
        </w:rPr>
        <w:t>, that Borrowers shall not be liable for costs and expenses (including attorneys’ fees) of any Lender (other than Wells Fargo) incurred in advising, structuring, drafting, reviewing, administering or syndicating the Loan Documents), enforcement, performance, or administration (including any restructuring or workout with respect hereto) of this Agreement, any of the other Loan Documents, or the transactions contemplated hereby or thereby or the monitoring of Parent’s and its Subsidiaries’ compliance with the terms of the Loan Documents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indemnification in this clause (a) shall not extend to (i) disputes solely between or among the Lenders that do not involve any acts or omissions of any Loan Party, or (ii) disputes solely between or among the Lenders and their respective Affiliates that do not involve any acts or omissions of any Loan Party; it being understood and agreed that the indemnification in this clause (a) shall extend to Agent (but not the Lenders unless the dispute involves an act or omission of a Loan Party) relative to disputes between or among Agent on the one hand, and one or more Lenders, or one or more of their Affiliates, on the other hand, or (iii) any claims for Taxes, which shall be governed by </w:t>
      </w:r>
      <w:r>
        <w:rPr>
          <w:rFonts w:ascii="Arial" w:cs="Arial" w:eastAsia="Arial" w:hAnsi="Arial"/>
          <w:sz w:val="16"/>
          <w:szCs w:val="16"/>
          <w:u w:val="single" w:color="auto"/>
          <w:color w:val="000000"/>
        </w:rPr>
        <w:t>Section 16</w:t>
      </w:r>
      <w:r>
        <w:rPr>
          <w:rFonts w:ascii="Arial" w:cs="Arial" w:eastAsia="Arial" w:hAnsi="Arial"/>
          <w:sz w:val="16"/>
          <w:szCs w:val="16"/>
          <w:color w:val="000000"/>
        </w:rPr>
        <w:t>, other than Taxes which relate to primarily non-Tax claims), (b) with respect to any actual or prospective investigation, litigation, or proceeding related to this Agreement, any other Loan Document, the making of any Loans or issuance of any Letters of Credit hereunder, or the use of the proceeds of the Loans or the Letters of Credit provided hereunder (irrespective of whether any Indemnified Person is a party thereto), or any act, omission, event, or circumstance in any manner related thereto, and (c) in connection with or arising out of any presence or release of Hazardous Materials at, on, under, to or from any assets or properties owned, leased or operated by any Loan Party or any of its Subsidiaries or any Environmental Actions, Environmental Liabilities or Remedial Actions related in any way to any such assets or properties of any Loan Party or any of its Subsidiaries (each and all of the foregoing, the “</w:t>
      </w:r>
      <w:r>
        <w:rPr>
          <w:rFonts w:ascii="Arial" w:cs="Arial" w:eastAsia="Arial" w:hAnsi="Arial"/>
          <w:sz w:val="16"/>
          <w:szCs w:val="16"/>
          <w:u w:val="single" w:color="auto"/>
          <w:color w:val="000000"/>
        </w:rPr>
        <w:t>Indemnified Liabilities</w:t>
      </w:r>
      <w:r>
        <w:rPr>
          <w:rFonts w:ascii="Arial" w:cs="Arial" w:eastAsia="Arial" w:hAnsi="Arial"/>
          <w:sz w:val="16"/>
          <w:szCs w:val="16"/>
          <w:color w:val="000000"/>
        </w:rPr>
        <w:t xml:space="preserve">”). The foregoing to the contrary notwithstanding, no Borrower shall have any obligation to any Indemnified Person under this </w:t>
      </w:r>
      <w:r>
        <w:rPr>
          <w:rFonts w:ascii="Arial" w:cs="Arial" w:eastAsia="Arial" w:hAnsi="Arial"/>
          <w:sz w:val="16"/>
          <w:szCs w:val="16"/>
          <w:u w:val="single" w:color="auto"/>
          <w:color w:val="000000"/>
        </w:rPr>
        <w:t>Section 10.3</w:t>
      </w:r>
      <w:r>
        <w:rPr>
          <w:rFonts w:ascii="Arial" w:cs="Arial" w:eastAsia="Arial" w:hAnsi="Arial"/>
          <w:sz w:val="16"/>
          <w:szCs w:val="16"/>
          <w:color w:val="000000"/>
        </w:rPr>
        <w:t xml:space="preserve"> with respect to any Indemnified Liability that a court of competent jurisdiction finally determines to have resulted from the gross negligence or willful misconduct of such Indemnified Person or its officers, directors, employees, attorneys, or agents. This provision shall survive the termination of this Agreement and the repayment in full of the Obligations. If any Indemnified Person makes any payment to any other Indemnified Person with respect to an Indemnified Liability as to which Borrowers were required to indemnify the Indemnified Person receiving such payment, the Indemnified Person making such payment is entitled to be indemnified and reimbursed by Borrowers with respect thereto. </w:t>
      </w:r>
      <w:r>
        <w:rPr>
          <w:rFonts w:ascii="Arial" w:cs="Arial" w:eastAsia="Arial" w:hAnsi="Arial"/>
          <w:sz w:val="16"/>
          <w:szCs w:val="16"/>
          <w:b w:val="1"/>
          <w:bCs w:val="1"/>
          <w:color w:val="000000"/>
        </w:rPr>
        <w:t>WITHOUT LIMITATION, THE FOREGOING INDEMNITY SHALL APPLY TO</w:t>
      </w:r>
    </w:p>
    <w:p>
      <w:pPr>
        <w:spacing w:after="0" w:line="1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EACH INDEMNIFIED PERSON WITH RESPECT TO INDEMNIFIED LIABILITIES WHICH IN WHOLE OR IN PART ARE CAUSED BY OR ARISE OUT OF ANY NEGLIGENT ACT OR OMISSION OF SUCH INDEMNIFIED PERSON OR OF ANY OTHER PERSON.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ind w:left="900" w:hanging="892"/>
        <w:spacing w:after="0"/>
        <w:tabs>
          <w:tab w:leader="none" w:pos="900" w:val="left"/>
        </w:tabs>
        <w:numPr>
          <w:ilvl w:val="0"/>
          <w:numId w:val="161"/>
        </w:numPr>
        <w:rPr>
          <w:rFonts w:ascii="Arial" w:cs="Arial" w:eastAsia="Arial" w:hAnsi="Arial"/>
          <w:sz w:val="18"/>
          <w:szCs w:val="18"/>
          <w:color w:val="010000"/>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Unless otherwise provided in this Agreement, all notices or demands relating to this Agreement or any other Loan Document shall be in writing and (except for financial statements and other informational documents which may be sent by first-class mail, postage prepaid) shall be personally delivered or sent by registered or certified mail (postage prepaid, return receipt requested), overnight courier, electronic mail (at such email addresses as a party may designate in accordance herewith), or telefacsimile. In the case of notices or demands to any Loan Party or Agent, as the case may be, they shall be sent to the respective address set forth below:</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If to any Loan Party:</w:t>
            </w:r>
          </w:p>
        </w:tc>
        <w:tc>
          <w:tcPr>
            <w:tcW w:w="3620" w:type="dxa"/>
            <w:vAlign w:val="bottom"/>
            <w:gridSpan w:val="2"/>
          </w:tcPr>
          <w:p>
            <w:pPr>
              <w:ind w:left="260"/>
              <w:spacing w:after="0"/>
              <w:rPr>
                <w:sz w:val="20"/>
                <w:szCs w:val="20"/>
                <w:color w:val="auto"/>
              </w:rPr>
            </w:pPr>
            <w:r>
              <w:rPr>
                <w:rFonts w:ascii="Arial" w:cs="Arial" w:eastAsia="Arial" w:hAnsi="Arial"/>
                <w:sz w:val="18"/>
                <w:szCs w:val="18"/>
                <w:color w:val="auto"/>
              </w:rPr>
              <w:t>c/o AerSale, Inc.</w:t>
            </w:r>
          </w:p>
        </w:tc>
      </w:tr>
      <w:tr>
        <w:trPr>
          <w:trHeight w:val="216"/>
        </w:trPr>
        <w:tc>
          <w:tcPr>
            <w:tcW w:w="1740" w:type="dxa"/>
            <w:vAlign w:val="bottom"/>
          </w:tcPr>
          <w:p>
            <w:pPr>
              <w:spacing w:after="0"/>
              <w:rPr>
                <w:sz w:val="18"/>
                <w:szCs w:val="18"/>
                <w:color w:val="auto"/>
              </w:rPr>
            </w:pPr>
          </w:p>
        </w:tc>
        <w:tc>
          <w:tcPr>
            <w:tcW w:w="3620" w:type="dxa"/>
            <w:vAlign w:val="bottom"/>
            <w:gridSpan w:val="2"/>
          </w:tcPr>
          <w:p>
            <w:pPr>
              <w:ind w:left="260"/>
              <w:spacing w:after="0"/>
              <w:rPr>
                <w:sz w:val="20"/>
                <w:szCs w:val="20"/>
                <w:color w:val="auto"/>
              </w:rPr>
            </w:pPr>
            <w:r>
              <w:rPr>
                <w:rFonts w:ascii="Arial" w:cs="Arial" w:eastAsia="Arial" w:hAnsi="Arial"/>
                <w:sz w:val="18"/>
                <w:szCs w:val="18"/>
                <w:color w:val="auto"/>
              </w:rPr>
              <w:t>121 Alhambra Plaza, Suite 1700</w:t>
            </w:r>
          </w:p>
        </w:tc>
      </w:tr>
      <w:tr>
        <w:trPr>
          <w:trHeight w:val="216"/>
        </w:trPr>
        <w:tc>
          <w:tcPr>
            <w:tcW w:w="1740" w:type="dxa"/>
            <w:vAlign w:val="bottom"/>
          </w:tcPr>
          <w:p>
            <w:pPr>
              <w:spacing w:after="0"/>
              <w:rPr>
                <w:sz w:val="18"/>
                <w:szCs w:val="18"/>
                <w:color w:val="auto"/>
              </w:rPr>
            </w:pPr>
          </w:p>
        </w:tc>
        <w:tc>
          <w:tcPr>
            <w:tcW w:w="3620" w:type="dxa"/>
            <w:vAlign w:val="bottom"/>
            <w:gridSpan w:val="2"/>
          </w:tcPr>
          <w:p>
            <w:pPr>
              <w:ind w:left="260"/>
              <w:spacing w:after="0"/>
              <w:rPr>
                <w:sz w:val="20"/>
                <w:szCs w:val="20"/>
                <w:color w:val="auto"/>
              </w:rPr>
            </w:pPr>
            <w:r>
              <w:rPr>
                <w:rFonts w:ascii="Arial" w:cs="Arial" w:eastAsia="Arial" w:hAnsi="Arial"/>
                <w:sz w:val="18"/>
                <w:szCs w:val="18"/>
                <w:color w:val="auto"/>
              </w:rPr>
              <w:t>Coral Gables, FL 33134</w:t>
            </w:r>
          </w:p>
        </w:tc>
      </w:tr>
      <w:tr>
        <w:trPr>
          <w:trHeight w:val="216"/>
        </w:trPr>
        <w:tc>
          <w:tcPr>
            <w:tcW w:w="1740" w:type="dxa"/>
            <w:vAlign w:val="bottom"/>
          </w:tcPr>
          <w:p>
            <w:pPr>
              <w:spacing w:after="0"/>
              <w:rPr>
                <w:sz w:val="18"/>
                <w:szCs w:val="18"/>
                <w:color w:val="auto"/>
              </w:rPr>
            </w:pPr>
          </w:p>
        </w:tc>
        <w:tc>
          <w:tcPr>
            <w:tcW w:w="1160" w:type="dxa"/>
            <w:vAlign w:val="bottom"/>
          </w:tcPr>
          <w:p>
            <w:pPr>
              <w:ind w:left="260"/>
              <w:spacing w:after="0"/>
              <w:rPr>
                <w:sz w:val="20"/>
                <w:szCs w:val="20"/>
                <w:color w:val="auto"/>
              </w:rPr>
            </w:pPr>
            <w:r>
              <w:rPr>
                <w:rFonts w:ascii="Arial" w:cs="Arial" w:eastAsia="Arial" w:hAnsi="Arial"/>
                <w:sz w:val="18"/>
                <w:szCs w:val="18"/>
                <w:color w:val="auto"/>
              </w:rPr>
              <w:t>Attention:</w:t>
            </w:r>
          </w:p>
        </w:tc>
        <w:tc>
          <w:tcPr>
            <w:tcW w:w="2460" w:type="dxa"/>
            <w:vAlign w:val="bottom"/>
          </w:tcPr>
          <w:p>
            <w:pPr>
              <w:ind w:left="180"/>
              <w:spacing w:after="0"/>
              <w:rPr>
                <w:sz w:val="20"/>
                <w:szCs w:val="20"/>
                <w:color w:val="auto"/>
              </w:rPr>
            </w:pPr>
            <w:r>
              <w:rPr>
                <w:rFonts w:ascii="Arial" w:cs="Arial" w:eastAsia="Arial" w:hAnsi="Arial"/>
                <w:sz w:val="18"/>
                <w:szCs w:val="18"/>
                <w:color w:val="auto"/>
              </w:rPr>
              <w:t>Scott Stewart</w:t>
            </w:r>
          </w:p>
        </w:tc>
      </w:tr>
      <w:tr>
        <w:trPr>
          <w:trHeight w:val="230"/>
        </w:trPr>
        <w:tc>
          <w:tcPr>
            <w:tcW w:w="1740" w:type="dxa"/>
            <w:vAlign w:val="bottom"/>
          </w:tcPr>
          <w:p>
            <w:pPr>
              <w:spacing w:after="0"/>
              <w:rPr>
                <w:sz w:val="20"/>
                <w:szCs w:val="20"/>
                <w:color w:val="auto"/>
              </w:rPr>
            </w:pPr>
          </w:p>
        </w:tc>
        <w:tc>
          <w:tcPr>
            <w:tcW w:w="1160" w:type="dxa"/>
            <w:vAlign w:val="bottom"/>
          </w:tcPr>
          <w:p>
            <w:pPr>
              <w:ind w:left="260"/>
              <w:spacing w:after="0"/>
              <w:rPr>
                <w:sz w:val="20"/>
                <w:szCs w:val="20"/>
                <w:color w:val="auto"/>
              </w:rPr>
            </w:pPr>
            <w:r>
              <w:rPr>
                <w:rFonts w:ascii="Arial" w:cs="Arial" w:eastAsia="Arial" w:hAnsi="Arial"/>
                <w:sz w:val="18"/>
                <w:szCs w:val="18"/>
                <w:color w:val="auto"/>
              </w:rPr>
              <w:t>Email:</w:t>
            </w:r>
          </w:p>
        </w:tc>
        <w:tc>
          <w:tcPr>
            <w:tcW w:w="2460" w:type="dxa"/>
            <w:vAlign w:val="bottom"/>
          </w:tcPr>
          <w:p>
            <w:pPr>
              <w:ind w:left="180"/>
              <w:spacing w:after="0"/>
              <w:rPr>
                <w:sz w:val="20"/>
                <w:szCs w:val="20"/>
                <w:color w:val="auto"/>
              </w:rPr>
            </w:pPr>
            <w:r>
              <w:rPr>
                <w:rFonts w:ascii="Arial" w:cs="Arial" w:eastAsia="Arial" w:hAnsi="Arial"/>
                <w:sz w:val="18"/>
                <w:szCs w:val="18"/>
                <w:color w:val="auto"/>
              </w:rPr>
              <w:t>Scott.Stewart@aersale.com</w:t>
            </w:r>
          </w:p>
        </w:tc>
      </w:tr>
      <w:tr>
        <w:trPr>
          <w:trHeight w:val="445"/>
        </w:trPr>
        <w:tc>
          <w:tcPr>
            <w:tcW w:w="1740" w:type="dxa"/>
            <w:vAlign w:val="bottom"/>
          </w:tcPr>
          <w:p>
            <w:pPr>
              <w:spacing w:after="0"/>
              <w:rPr>
                <w:sz w:val="20"/>
                <w:szCs w:val="20"/>
                <w:color w:val="auto"/>
              </w:rPr>
            </w:pPr>
            <w:r>
              <w:rPr>
                <w:rFonts w:ascii="Arial" w:cs="Arial" w:eastAsia="Arial" w:hAnsi="Arial"/>
                <w:sz w:val="18"/>
                <w:szCs w:val="18"/>
                <w:color w:val="auto"/>
              </w:rPr>
              <w:t>with copies to:</w:t>
            </w:r>
          </w:p>
        </w:tc>
        <w:tc>
          <w:tcPr>
            <w:tcW w:w="3620" w:type="dxa"/>
            <w:vAlign w:val="bottom"/>
            <w:gridSpan w:val="2"/>
          </w:tcPr>
          <w:p>
            <w:pPr>
              <w:ind w:left="260"/>
              <w:spacing w:after="0"/>
              <w:rPr>
                <w:sz w:val="20"/>
                <w:szCs w:val="20"/>
                <w:color w:val="auto"/>
              </w:rPr>
            </w:pPr>
            <w:r>
              <w:rPr>
                <w:rFonts w:ascii="Arial" w:cs="Arial" w:eastAsia="Arial" w:hAnsi="Arial"/>
                <w:sz w:val="18"/>
                <w:szCs w:val="18"/>
                <w:color w:val="auto"/>
              </w:rPr>
              <w:t>Latham &amp; Watkins LLP</w:t>
            </w:r>
          </w:p>
        </w:tc>
      </w:tr>
      <w:tr>
        <w:trPr>
          <w:trHeight w:val="216"/>
        </w:trPr>
        <w:tc>
          <w:tcPr>
            <w:tcW w:w="1740" w:type="dxa"/>
            <w:vAlign w:val="bottom"/>
          </w:tcPr>
          <w:p>
            <w:pPr>
              <w:spacing w:after="0"/>
              <w:rPr>
                <w:sz w:val="18"/>
                <w:szCs w:val="18"/>
                <w:color w:val="auto"/>
              </w:rPr>
            </w:pPr>
          </w:p>
        </w:tc>
        <w:tc>
          <w:tcPr>
            <w:tcW w:w="3620" w:type="dxa"/>
            <w:vAlign w:val="bottom"/>
            <w:gridSpan w:val="2"/>
          </w:tcPr>
          <w:p>
            <w:pPr>
              <w:ind w:left="260"/>
              <w:spacing w:after="0"/>
              <w:rPr>
                <w:sz w:val="20"/>
                <w:szCs w:val="20"/>
                <w:color w:val="auto"/>
              </w:rPr>
            </w:pPr>
            <w:r>
              <w:rPr>
                <w:rFonts w:ascii="Arial" w:cs="Arial" w:eastAsia="Arial" w:hAnsi="Arial"/>
                <w:sz w:val="18"/>
                <w:szCs w:val="18"/>
                <w:color w:val="auto"/>
              </w:rPr>
              <w:t>885 Third Avenue</w:t>
            </w:r>
          </w:p>
        </w:tc>
      </w:tr>
      <w:tr>
        <w:trPr>
          <w:trHeight w:val="216"/>
        </w:trPr>
        <w:tc>
          <w:tcPr>
            <w:tcW w:w="1740" w:type="dxa"/>
            <w:vAlign w:val="bottom"/>
          </w:tcPr>
          <w:p>
            <w:pPr>
              <w:spacing w:after="0"/>
              <w:rPr>
                <w:sz w:val="18"/>
                <w:szCs w:val="18"/>
                <w:color w:val="auto"/>
              </w:rPr>
            </w:pPr>
          </w:p>
        </w:tc>
        <w:tc>
          <w:tcPr>
            <w:tcW w:w="3620" w:type="dxa"/>
            <w:vAlign w:val="bottom"/>
            <w:gridSpan w:val="2"/>
          </w:tcPr>
          <w:p>
            <w:pPr>
              <w:ind w:left="260"/>
              <w:spacing w:after="0"/>
              <w:rPr>
                <w:sz w:val="20"/>
                <w:szCs w:val="20"/>
                <w:color w:val="auto"/>
              </w:rPr>
            </w:pPr>
            <w:r>
              <w:rPr>
                <w:rFonts w:ascii="Arial" w:cs="Arial" w:eastAsia="Arial" w:hAnsi="Arial"/>
                <w:sz w:val="18"/>
                <w:szCs w:val="18"/>
                <w:color w:val="auto"/>
              </w:rPr>
              <w:t>New York, NY 10022</w:t>
            </w:r>
          </w:p>
        </w:tc>
      </w:tr>
      <w:tr>
        <w:trPr>
          <w:trHeight w:val="216"/>
        </w:trPr>
        <w:tc>
          <w:tcPr>
            <w:tcW w:w="1740" w:type="dxa"/>
            <w:vAlign w:val="bottom"/>
          </w:tcPr>
          <w:p>
            <w:pPr>
              <w:spacing w:after="0"/>
              <w:rPr>
                <w:sz w:val="18"/>
                <w:szCs w:val="18"/>
                <w:color w:val="auto"/>
              </w:rPr>
            </w:pPr>
          </w:p>
        </w:tc>
        <w:tc>
          <w:tcPr>
            <w:tcW w:w="1160" w:type="dxa"/>
            <w:vAlign w:val="bottom"/>
          </w:tcPr>
          <w:p>
            <w:pPr>
              <w:ind w:left="260"/>
              <w:spacing w:after="0"/>
              <w:rPr>
                <w:sz w:val="20"/>
                <w:szCs w:val="20"/>
                <w:color w:val="auto"/>
              </w:rPr>
            </w:pPr>
            <w:r>
              <w:rPr>
                <w:rFonts w:ascii="Arial" w:cs="Arial" w:eastAsia="Arial" w:hAnsi="Arial"/>
                <w:sz w:val="18"/>
                <w:szCs w:val="18"/>
                <w:color w:val="auto"/>
              </w:rPr>
              <w:t>Attention:</w:t>
            </w:r>
          </w:p>
        </w:tc>
        <w:tc>
          <w:tcPr>
            <w:tcW w:w="2460" w:type="dxa"/>
            <w:vAlign w:val="bottom"/>
          </w:tcPr>
          <w:p>
            <w:pPr>
              <w:ind w:left="180"/>
              <w:spacing w:after="0"/>
              <w:rPr>
                <w:sz w:val="20"/>
                <w:szCs w:val="20"/>
                <w:color w:val="auto"/>
              </w:rPr>
            </w:pPr>
            <w:r>
              <w:rPr>
                <w:rFonts w:ascii="Arial" w:cs="Arial" w:eastAsia="Arial" w:hAnsi="Arial"/>
                <w:sz w:val="18"/>
                <w:szCs w:val="18"/>
                <w:color w:val="auto"/>
              </w:rPr>
              <w:t>Joshua Tinkleman</w:t>
            </w:r>
          </w:p>
        </w:tc>
      </w:tr>
      <w:tr>
        <w:trPr>
          <w:trHeight w:val="230"/>
        </w:trPr>
        <w:tc>
          <w:tcPr>
            <w:tcW w:w="1740" w:type="dxa"/>
            <w:vAlign w:val="bottom"/>
          </w:tcPr>
          <w:p>
            <w:pPr>
              <w:spacing w:after="0"/>
              <w:rPr>
                <w:sz w:val="20"/>
                <w:szCs w:val="20"/>
                <w:color w:val="auto"/>
              </w:rPr>
            </w:pPr>
          </w:p>
        </w:tc>
        <w:tc>
          <w:tcPr>
            <w:tcW w:w="1160" w:type="dxa"/>
            <w:vAlign w:val="bottom"/>
          </w:tcPr>
          <w:p>
            <w:pPr>
              <w:ind w:left="260"/>
              <w:spacing w:after="0"/>
              <w:rPr>
                <w:sz w:val="20"/>
                <w:szCs w:val="20"/>
                <w:color w:val="auto"/>
              </w:rPr>
            </w:pPr>
            <w:r>
              <w:rPr>
                <w:rFonts w:ascii="Arial" w:cs="Arial" w:eastAsia="Arial" w:hAnsi="Arial"/>
                <w:sz w:val="18"/>
                <w:szCs w:val="18"/>
                <w:color w:val="auto"/>
              </w:rPr>
              <w:t>Email:</w:t>
            </w:r>
          </w:p>
        </w:tc>
        <w:tc>
          <w:tcPr>
            <w:tcW w:w="2460" w:type="dxa"/>
            <w:vAlign w:val="bottom"/>
          </w:tcPr>
          <w:p>
            <w:pPr>
              <w:ind w:left="180"/>
              <w:spacing w:after="0"/>
              <w:rPr>
                <w:sz w:val="20"/>
                <w:szCs w:val="20"/>
                <w:color w:val="auto"/>
              </w:rPr>
            </w:pPr>
            <w:r>
              <w:rPr>
                <w:rFonts w:ascii="Arial" w:cs="Arial" w:eastAsia="Arial" w:hAnsi="Arial"/>
                <w:sz w:val="18"/>
                <w:szCs w:val="18"/>
                <w:color w:val="auto"/>
              </w:rPr>
              <w:t>joshua.tinkelman@lw.com</w:t>
            </w:r>
          </w:p>
        </w:tc>
      </w:tr>
      <w:tr>
        <w:trPr>
          <w:trHeight w:val="445"/>
        </w:trPr>
        <w:tc>
          <w:tcPr>
            <w:tcW w:w="1740" w:type="dxa"/>
            <w:vAlign w:val="bottom"/>
          </w:tcPr>
          <w:p>
            <w:pPr>
              <w:spacing w:after="0"/>
              <w:rPr>
                <w:sz w:val="20"/>
                <w:szCs w:val="20"/>
                <w:color w:val="auto"/>
              </w:rPr>
            </w:pPr>
            <w:r>
              <w:rPr>
                <w:rFonts w:ascii="Arial" w:cs="Arial" w:eastAsia="Arial" w:hAnsi="Arial"/>
                <w:sz w:val="18"/>
                <w:szCs w:val="18"/>
                <w:color w:val="auto"/>
              </w:rPr>
              <w:t>If to Agent:</w:t>
            </w:r>
          </w:p>
        </w:tc>
        <w:tc>
          <w:tcPr>
            <w:tcW w:w="3620" w:type="dxa"/>
            <w:vAlign w:val="bottom"/>
            <w:gridSpan w:val="2"/>
          </w:tcPr>
          <w:p>
            <w:pPr>
              <w:ind w:left="260"/>
              <w:spacing w:after="0"/>
              <w:rPr>
                <w:sz w:val="20"/>
                <w:szCs w:val="20"/>
                <w:color w:val="auto"/>
              </w:rPr>
            </w:pPr>
            <w:r>
              <w:rPr>
                <w:rFonts w:ascii="Arial" w:cs="Arial" w:eastAsia="Arial" w:hAnsi="Arial"/>
                <w:sz w:val="18"/>
                <w:szCs w:val="18"/>
                <w:color w:val="auto"/>
              </w:rPr>
              <w:t>Wells Fargo Bank, National Association</w:t>
            </w:r>
          </w:p>
        </w:tc>
      </w:tr>
      <w:tr>
        <w:trPr>
          <w:trHeight w:val="216"/>
        </w:trPr>
        <w:tc>
          <w:tcPr>
            <w:tcW w:w="1740" w:type="dxa"/>
            <w:vAlign w:val="bottom"/>
          </w:tcPr>
          <w:p>
            <w:pPr>
              <w:spacing w:after="0"/>
              <w:rPr>
                <w:sz w:val="18"/>
                <w:szCs w:val="18"/>
                <w:color w:val="auto"/>
              </w:rPr>
            </w:pPr>
          </w:p>
        </w:tc>
        <w:tc>
          <w:tcPr>
            <w:tcW w:w="3620" w:type="dxa"/>
            <w:vAlign w:val="bottom"/>
            <w:gridSpan w:val="2"/>
          </w:tcPr>
          <w:p>
            <w:pPr>
              <w:ind w:left="260"/>
              <w:spacing w:after="0"/>
              <w:rPr>
                <w:sz w:val="20"/>
                <w:szCs w:val="20"/>
                <w:color w:val="auto"/>
              </w:rPr>
            </w:pPr>
            <w:r>
              <w:rPr>
                <w:rFonts w:ascii="Arial" w:cs="Arial" w:eastAsia="Arial" w:hAnsi="Arial"/>
                <w:sz w:val="18"/>
                <w:szCs w:val="18"/>
                <w:color w:val="auto"/>
              </w:rPr>
              <w:t>2450 Colorado Avenue, Suite 3000 West</w:t>
            </w:r>
          </w:p>
        </w:tc>
      </w:tr>
      <w:tr>
        <w:trPr>
          <w:trHeight w:val="216"/>
        </w:trPr>
        <w:tc>
          <w:tcPr>
            <w:tcW w:w="1740" w:type="dxa"/>
            <w:vAlign w:val="bottom"/>
          </w:tcPr>
          <w:p>
            <w:pPr>
              <w:spacing w:after="0"/>
              <w:rPr>
                <w:sz w:val="18"/>
                <w:szCs w:val="18"/>
                <w:color w:val="auto"/>
              </w:rPr>
            </w:pPr>
          </w:p>
        </w:tc>
        <w:tc>
          <w:tcPr>
            <w:tcW w:w="3620" w:type="dxa"/>
            <w:vAlign w:val="bottom"/>
            <w:gridSpan w:val="2"/>
          </w:tcPr>
          <w:p>
            <w:pPr>
              <w:ind w:left="260"/>
              <w:spacing w:after="0"/>
              <w:rPr>
                <w:sz w:val="20"/>
                <w:szCs w:val="20"/>
                <w:color w:val="auto"/>
              </w:rPr>
            </w:pPr>
            <w:r>
              <w:rPr>
                <w:rFonts w:ascii="Arial" w:cs="Arial" w:eastAsia="Arial" w:hAnsi="Arial"/>
                <w:sz w:val="18"/>
                <w:szCs w:val="18"/>
                <w:color w:val="auto"/>
              </w:rPr>
              <w:t>Santa Monica, CA 90404</w:t>
            </w:r>
          </w:p>
        </w:tc>
      </w:tr>
      <w:tr>
        <w:trPr>
          <w:trHeight w:val="216"/>
        </w:trPr>
        <w:tc>
          <w:tcPr>
            <w:tcW w:w="1740" w:type="dxa"/>
            <w:vAlign w:val="bottom"/>
          </w:tcPr>
          <w:p>
            <w:pPr>
              <w:spacing w:after="0"/>
              <w:rPr>
                <w:sz w:val="18"/>
                <w:szCs w:val="18"/>
                <w:color w:val="auto"/>
              </w:rPr>
            </w:pPr>
          </w:p>
        </w:tc>
        <w:tc>
          <w:tcPr>
            <w:tcW w:w="1160" w:type="dxa"/>
            <w:vAlign w:val="bottom"/>
          </w:tcPr>
          <w:p>
            <w:pPr>
              <w:ind w:left="260"/>
              <w:spacing w:after="0"/>
              <w:rPr>
                <w:sz w:val="20"/>
                <w:szCs w:val="20"/>
                <w:color w:val="auto"/>
              </w:rPr>
            </w:pPr>
            <w:r>
              <w:rPr>
                <w:rFonts w:ascii="Arial" w:cs="Arial" w:eastAsia="Arial" w:hAnsi="Arial"/>
                <w:sz w:val="18"/>
                <w:szCs w:val="18"/>
                <w:color w:val="auto"/>
              </w:rPr>
              <w:t>Attention:</w:t>
            </w:r>
          </w:p>
        </w:tc>
        <w:tc>
          <w:tcPr>
            <w:tcW w:w="2460" w:type="dxa"/>
            <w:vAlign w:val="bottom"/>
          </w:tcPr>
          <w:p>
            <w:pPr>
              <w:ind w:left="180"/>
              <w:spacing w:after="0"/>
              <w:rPr>
                <w:sz w:val="20"/>
                <w:szCs w:val="20"/>
                <w:color w:val="auto"/>
              </w:rPr>
            </w:pPr>
            <w:r>
              <w:rPr>
                <w:rFonts w:ascii="Arial" w:cs="Arial" w:eastAsia="Arial" w:hAnsi="Arial"/>
                <w:sz w:val="18"/>
                <w:szCs w:val="18"/>
                <w:color w:val="auto"/>
              </w:rPr>
              <w:t>Cameron Scott</w:t>
            </w:r>
          </w:p>
        </w:tc>
      </w:tr>
      <w:tr>
        <w:trPr>
          <w:trHeight w:val="230"/>
        </w:trPr>
        <w:tc>
          <w:tcPr>
            <w:tcW w:w="1740" w:type="dxa"/>
            <w:vAlign w:val="bottom"/>
          </w:tcPr>
          <w:p>
            <w:pPr>
              <w:spacing w:after="0"/>
              <w:rPr>
                <w:sz w:val="20"/>
                <w:szCs w:val="20"/>
                <w:color w:val="auto"/>
              </w:rPr>
            </w:pPr>
          </w:p>
        </w:tc>
        <w:tc>
          <w:tcPr>
            <w:tcW w:w="1160" w:type="dxa"/>
            <w:vAlign w:val="bottom"/>
          </w:tcPr>
          <w:p>
            <w:pPr>
              <w:ind w:left="260"/>
              <w:spacing w:after="0"/>
              <w:rPr>
                <w:sz w:val="20"/>
                <w:szCs w:val="20"/>
                <w:color w:val="auto"/>
              </w:rPr>
            </w:pPr>
            <w:r>
              <w:rPr>
                <w:rFonts w:ascii="Arial" w:cs="Arial" w:eastAsia="Arial" w:hAnsi="Arial"/>
                <w:sz w:val="18"/>
                <w:szCs w:val="18"/>
                <w:color w:val="auto"/>
              </w:rPr>
              <w:t>Email:</w:t>
            </w:r>
          </w:p>
        </w:tc>
        <w:tc>
          <w:tcPr>
            <w:tcW w:w="2460" w:type="dxa"/>
            <w:vAlign w:val="bottom"/>
          </w:tcPr>
          <w:p>
            <w:pPr>
              <w:ind w:left="180"/>
              <w:spacing w:after="0"/>
              <w:rPr>
                <w:sz w:val="20"/>
                <w:szCs w:val="20"/>
                <w:color w:val="auto"/>
              </w:rPr>
            </w:pPr>
            <w:r>
              <w:rPr>
                <w:rFonts w:ascii="Arial" w:cs="Arial" w:eastAsia="Arial" w:hAnsi="Arial"/>
                <w:sz w:val="18"/>
                <w:szCs w:val="18"/>
                <w:color w:val="auto"/>
                <w:w w:val="89"/>
              </w:rPr>
              <w:t>cameron.scott@wellsfargo.com</w:t>
            </w:r>
          </w:p>
        </w:tc>
      </w:tr>
      <w:tr>
        <w:trPr>
          <w:trHeight w:val="445"/>
        </w:trPr>
        <w:tc>
          <w:tcPr>
            <w:tcW w:w="1740" w:type="dxa"/>
            <w:vAlign w:val="bottom"/>
          </w:tcPr>
          <w:p>
            <w:pPr>
              <w:spacing w:after="0"/>
              <w:rPr>
                <w:sz w:val="20"/>
                <w:szCs w:val="20"/>
                <w:color w:val="auto"/>
              </w:rPr>
            </w:pPr>
            <w:r>
              <w:rPr>
                <w:rFonts w:ascii="Arial" w:cs="Arial" w:eastAsia="Arial" w:hAnsi="Arial"/>
                <w:sz w:val="18"/>
                <w:szCs w:val="18"/>
                <w:color w:val="auto"/>
              </w:rPr>
              <w:t>with copies to:</w:t>
            </w:r>
          </w:p>
        </w:tc>
        <w:tc>
          <w:tcPr>
            <w:tcW w:w="3620" w:type="dxa"/>
            <w:vAlign w:val="bottom"/>
            <w:gridSpan w:val="2"/>
          </w:tcPr>
          <w:p>
            <w:pPr>
              <w:ind w:left="260"/>
              <w:spacing w:after="0"/>
              <w:rPr>
                <w:sz w:val="20"/>
                <w:szCs w:val="20"/>
                <w:color w:val="auto"/>
              </w:rPr>
            </w:pPr>
            <w:r>
              <w:rPr>
                <w:rFonts w:ascii="Arial" w:cs="Arial" w:eastAsia="Arial" w:hAnsi="Arial"/>
                <w:sz w:val="18"/>
                <w:szCs w:val="18"/>
                <w:color w:val="auto"/>
              </w:rPr>
              <w:t>Holland &amp; Knight LLP</w:t>
            </w:r>
          </w:p>
        </w:tc>
      </w:tr>
      <w:tr>
        <w:trPr>
          <w:trHeight w:val="216"/>
        </w:trPr>
        <w:tc>
          <w:tcPr>
            <w:tcW w:w="1740" w:type="dxa"/>
            <w:vAlign w:val="bottom"/>
          </w:tcPr>
          <w:p>
            <w:pPr>
              <w:spacing w:after="0"/>
              <w:rPr>
                <w:sz w:val="18"/>
                <w:szCs w:val="18"/>
                <w:color w:val="auto"/>
              </w:rPr>
            </w:pPr>
          </w:p>
        </w:tc>
        <w:tc>
          <w:tcPr>
            <w:tcW w:w="3620" w:type="dxa"/>
            <w:vAlign w:val="bottom"/>
            <w:gridSpan w:val="2"/>
          </w:tcPr>
          <w:p>
            <w:pPr>
              <w:ind w:left="260"/>
              <w:spacing w:after="0"/>
              <w:rPr>
                <w:sz w:val="20"/>
                <w:szCs w:val="20"/>
                <w:color w:val="auto"/>
              </w:rPr>
            </w:pPr>
            <w:r>
              <w:rPr>
                <w:rFonts w:ascii="Arial" w:cs="Arial" w:eastAsia="Arial" w:hAnsi="Arial"/>
                <w:sz w:val="18"/>
                <w:szCs w:val="18"/>
                <w:color w:val="auto"/>
              </w:rPr>
              <w:t>50 California Street, Suite 2800</w:t>
            </w:r>
          </w:p>
        </w:tc>
      </w:tr>
      <w:tr>
        <w:trPr>
          <w:trHeight w:val="216"/>
        </w:trPr>
        <w:tc>
          <w:tcPr>
            <w:tcW w:w="1740" w:type="dxa"/>
            <w:vAlign w:val="bottom"/>
          </w:tcPr>
          <w:p>
            <w:pPr>
              <w:spacing w:after="0"/>
              <w:rPr>
                <w:sz w:val="18"/>
                <w:szCs w:val="18"/>
                <w:color w:val="auto"/>
              </w:rPr>
            </w:pPr>
          </w:p>
        </w:tc>
        <w:tc>
          <w:tcPr>
            <w:tcW w:w="3620" w:type="dxa"/>
            <w:vAlign w:val="bottom"/>
            <w:gridSpan w:val="2"/>
          </w:tcPr>
          <w:p>
            <w:pPr>
              <w:ind w:left="260"/>
              <w:spacing w:after="0"/>
              <w:rPr>
                <w:sz w:val="20"/>
                <w:szCs w:val="20"/>
                <w:color w:val="auto"/>
              </w:rPr>
            </w:pPr>
            <w:r>
              <w:rPr>
                <w:rFonts w:ascii="Arial" w:cs="Arial" w:eastAsia="Arial" w:hAnsi="Arial"/>
                <w:sz w:val="18"/>
                <w:szCs w:val="18"/>
                <w:color w:val="auto"/>
              </w:rPr>
              <w:t>San Francisco, CA 94111</w:t>
            </w:r>
          </w:p>
        </w:tc>
      </w:tr>
      <w:tr>
        <w:trPr>
          <w:trHeight w:val="216"/>
        </w:trPr>
        <w:tc>
          <w:tcPr>
            <w:tcW w:w="1740" w:type="dxa"/>
            <w:vAlign w:val="bottom"/>
          </w:tcPr>
          <w:p>
            <w:pPr>
              <w:spacing w:after="0"/>
              <w:rPr>
                <w:sz w:val="18"/>
                <w:szCs w:val="18"/>
                <w:color w:val="auto"/>
              </w:rPr>
            </w:pPr>
          </w:p>
        </w:tc>
        <w:tc>
          <w:tcPr>
            <w:tcW w:w="1160" w:type="dxa"/>
            <w:vAlign w:val="bottom"/>
          </w:tcPr>
          <w:p>
            <w:pPr>
              <w:ind w:left="260"/>
              <w:spacing w:after="0"/>
              <w:rPr>
                <w:sz w:val="20"/>
                <w:szCs w:val="20"/>
                <w:color w:val="auto"/>
              </w:rPr>
            </w:pPr>
            <w:r>
              <w:rPr>
                <w:rFonts w:ascii="Arial" w:cs="Arial" w:eastAsia="Arial" w:hAnsi="Arial"/>
                <w:sz w:val="18"/>
                <w:szCs w:val="18"/>
                <w:color w:val="auto"/>
              </w:rPr>
              <w:t>Attention:</w:t>
            </w:r>
          </w:p>
        </w:tc>
        <w:tc>
          <w:tcPr>
            <w:tcW w:w="2460" w:type="dxa"/>
            <w:vAlign w:val="bottom"/>
          </w:tcPr>
          <w:p>
            <w:pPr>
              <w:ind w:left="180"/>
              <w:spacing w:after="0"/>
              <w:rPr>
                <w:sz w:val="20"/>
                <w:szCs w:val="20"/>
                <w:color w:val="auto"/>
              </w:rPr>
            </w:pPr>
            <w:r>
              <w:rPr>
                <w:rFonts w:ascii="Arial" w:cs="Arial" w:eastAsia="Arial" w:hAnsi="Arial"/>
                <w:sz w:val="18"/>
                <w:szCs w:val="18"/>
                <w:color w:val="auto"/>
              </w:rPr>
              <w:t>William Piels</w:t>
            </w:r>
          </w:p>
        </w:tc>
      </w:tr>
      <w:tr>
        <w:trPr>
          <w:trHeight w:val="230"/>
        </w:trPr>
        <w:tc>
          <w:tcPr>
            <w:tcW w:w="1740" w:type="dxa"/>
            <w:vAlign w:val="bottom"/>
          </w:tcPr>
          <w:p>
            <w:pPr>
              <w:spacing w:after="0"/>
              <w:rPr>
                <w:sz w:val="20"/>
                <w:szCs w:val="20"/>
                <w:color w:val="auto"/>
              </w:rPr>
            </w:pPr>
          </w:p>
        </w:tc>
        <w:tc>
          <w:tcPr>
            <w:tcW w:w="1160" w:type="dxa"/>
            <w:vAlign w:val="bottom"/>
          </w:tcPr>
          <w:p>
            <w:pPr>
              <w:ind w:left="260"/>
              <w:spacing w:after="0"/>
              <w:rPr>
                <w:sz w:val="20"/>
                <w:szCs w:val="20"/>
                <w:color w:val="auto"/>
              </w:rPr>
            </w:pPr>
            <w:r>
              <w:rPr>
                <w:rFonts w:ascii="Arial" w:cs="Arial" w:eastAsia="Arial" w:hAnsi="Arial"/>
                <w:sz w:val="18"/>
                <w:szCs w:val="18"/>
                <w:color w:val="auto"/>
              </w:rPr>
              <w:t>Email:</w:t>
            </w:r>
          </w:p>
        </w:tc>
        <w:tc>
          <w:tcPr>
            <w:tcW w:w="2460" w:type="dxa"/>
            <w:vAlign w:val="bottom"/>
          </w:tcPr>
          <w:p>
            <w:pPr>
              <w:ind w:left="180"/>
              <w:spacing w:after="0"/>
              <w:rPr>
                <w:sz w:val="20"/>
                <w:szCs w:val="20"/>
                <w:color w:val="auto"/>
              </w:rPr>
            </w:pPr>
            <w:r>
              <w:rPr>
                <w:rFonts w:ascii="Arial" w:cs="Arial" w:eastAsia="Arial" w:hAnsi="Arial"/>
                <w:sz w:val="18"/>
                <w:szCs w:val="18"/>
                <w:color w:val="auto"/>
              </w:rPr>
              <w:t>william.piels@hklaw.com</w:t>
            </w: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Any party hereto may change the address at which they are to receive notices hereunder, by notice in writing in the foregoing manner given to the other party. All notices or demands sent in accordance with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deemed received on the earlier of the date of actual receipt or three Business Days after the deposit thereof in the mail; </w:t>
      </w:r>
      <w:r>
        <w:rPr>
          <w:rFonts w:ascii="Arial" w:cs="Arial" w:eastAsia="Arial" w:hAnsi="Arial"/>
          <w:sz w:val="18"/>
          <w:szCs w:val="18"/>
          <w:u w:val="single" w:color="auto"/>
          <w:color w:val="auto"/>
        </w:rPr>
        <w:t>provided</w:t>
      </w:r>
      <w:r>
        <w:rPr>
          <w:rFonts w:ascii="Arial" w:cs="Arial" w:eastAsia="Arial" w:hAnsi="Arial"/>
          <w:sz w:val="18"/>
          <w:szCs w:val="18"/>
          <w:color w:val="auto"/>
        </w:rPr>
        <w:t>, that (a) notices sent by overnight courier service shall be deemed to have been given when received, (b) notices by facsimile shall be deemed to have been given when sent (except that, if not given during normal business hours for the recipient, shall be deemed to have been given at the opening of business on the next Business Day for the recipient) and (c) notices by electronic mail shall be deemed received upon the sender’s receipt of an acknowledgment from the intended recipient (such as by the “return receipt requested” function, as available, return email or other written acknowledgment).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ind w:left="900" w:hanging="892"/>
        <w:spacing w:after="0"/>
        <w:tabs>
          <w:tab w:leader="none" w:pos="900" w:val="left"/>
        </w:tabs>
        <w:numPr>
          <w:ilvl w:val="0"/>
          <w:numId w:val="162"/>
        </w:numPr>
        <w:rPr>
          <w:rFonts w:ascii="Arial" w:cs="Arial" w:eastAsia="Arial" w:hAnsi="Arial"/>
          <w:sz w:val="18"/>
          <w:szCs w:val="18"/>
          <w:color w:val="010000"/>
        </w:rPr>
      </w:pPr>
      <w:r>
        <w:rPr>
          <w:rFonts w:ascii="Arial" w:cs="Arial" w:eastAsia="Arial" w:hAnsi="Arial"/>
          <w:sz w:val="18"/>
          <w:szCs w:val="18"/>
          <w:b w:val="1"/>
          <w:bCs w:val="1"/>
          <w:color w:val="auto"/>
        </w:rPr>
        <w:t>CHOICE OF LAW AND VENUE; JURY TRIAL WAIVER; JUDICIAL REFERENCE PROVISION.</w:t>
      </w:r>
    </w:p>
    <w:p>
      <w:pPr>
        <w:spacing w:after="0" w:line="229" w:lineRule="exact"/>
        <w:rPr>
          <w:rFonts w:ascii="Arial" w:cs="Arial" w:eastAsia="Arial" w:hAnsi="Arial"/>
          <w:sz w:val="18"/>
          <w:szCs w:val="18"/>
          <w:color w:val="010000"/>
        </w:rPr>
      </w:pPr>
    </w:p>
    <w:p>
      <w:pPr>
        <w:jc w:val="both"/>
        <w:ind w:firstLine="1304"/>
        <w:spacing w:after="0" w:line="273" w:lineRule="auto"/>
        <w:tabs>
          <w:tab w:leader="none" w:pos="2742" w:val="left"/>
        </w:tabs>
        <w:numPr>
          <w:ilvl w:val="1"/>
          <w:numId w:val="162"/>
        </w:numPr>
        <w:rPr>
          <w:rFonts w:ascii="Arial" w:cs="Arial" w:eastAsia="Arial" w:hAnsi="Arial"/>
          <w:sz w:val="17"/>
          <w:szCs w:val="17"/>
          <w:color w:val="010000"/>
        </w:rPr>
      </w:pPr>
      <w:r>
        <w:rPr>
          <w:rFonts w:ascii="Arial" w:cs="Arial" w:eastAsia="Arial" w:hAnsi="Arial"/>
          <w:sz w:val="17"/>
          <w:szCs w:val="17"/>
          <w:color w:val="auto"/>
        </w:rPr>
        <w:t>THE VALIDITY OF THIS AGREEMENT AND THE OTHER LOAN DOCUMENTS (UNLESS EXPRESSLY PROVIDED TO THE CONTRARY IN ANOTHER LOAN DOCUMENT IN RESPECT OF SUCH OTHER LOAN DOCUMENT), THE CONSTRUCTION, INTERPRETATION, AND ENFORCEMENT HEREOF AND THEREOF, THE RIGHTS OF THE PARTIES HERETO AND THERETO WITH RESPECT TO ALL MATTERS ARISING HEREUNDER OR THEREUNDER OR RELATED HERETO OR THERETO, AND ANY CLAIMS, CONTROVERSIES OR DISPUTES ARISING HEREUNDER OR THEREUNDER OR RELATED HERETO OR THERETO SHALL BE DETERMINED UNDER, GOVERNED BY, AND CONSTRUED IN ACCORDANCE WITH THE LAWS OF THE STATE OF NEW YORK.</w:t>
      </w:r>
    </w:p>
    <w:p>
      <w:pPr>
        <w:spacing w:after="0" w:line="177" w:lineRule="exact"/>
        <w:rPr>
          <w:rFonts w:ascii="Arial" w:cs="Arial" w:eastAsia="Arial" w:hAnsi="Arial"/>
          <w:sz w:val="17"/>
          <w:szCs w:val="17"/>
          <w:color w:val="010000"/>
        </w:rPr>
      </w:pPr>
    </w:p>
    <w:p>
      <w:pPr>
        <w:jc w:val="both"/>
        <w:ind w:firstLine="1304"/>
        <w:spacing w:after="0" w:line="253" w:lineRule="auto"/>
        <w:tabs>
          <w:tab w:leader="none" w:pos="2657" w:val="left"/>
        </w:tabs>
        <w:numPr>
          <w:ilvl w:val="1"/>
          <w:numId w:val="162"/>
        </w:numPr>
        <w:rPr>
          <w:rFonts w:ascii="Arial" w:cs="Arial" w:eastAsia="Arial" w:hAnsi="Arial"/>
          <w:sz w:val="18"/>
          <w:szCs w:val="18"/>
          <w:color w:val="010000"/>
        </w:rPr>
      </w:pPr>
      <w:r>
        <w:rPr>
          <w:rFonts w:ascii="Arial" w:cs="Arial" w:eastAsia="Arial" w:hAnsi="Arial"/>
          <w:sz w:val="18"/>
          <w:szCs w:val="18"/>
          <w:color w:val="auto"/>
        </w:rPr>
        <w:t xml:space="preserve">THE PARTIES AGREE THAT ALL ACTIONS OR PROCEEDINGS ARISING IN CONNECTION WITH THIS AGREEMENT AND THE OTHER LOAN DOCUMENTS SHALL BE TRIED AND LITIGATED ONLY IN THE STATE AND, TO THE EXTENT PERMITTED BY APPLICABLE LAW, FEDERAL COURTS LOCATED IN THE COUNTY OF NEW YORK,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SUIT SEEKING ENFORCEMENT AGAINST ANY COLLATERAL OR OTHER PROPERTY MAY BE BROUGHT, AT AGENT’S OPTION, IN THE COURTS OF ANY JURISDICTION WHERE AGENT ELECTS TO BRING SUCH ACTION OR WHERE SUCH COLLATERAL OR OTHER PROPERTY MAY BE FOUND. EACH OF PARENT AND EACH BORROWER AND EACH MEMBER OF THE LENDER GROUP WAIVE, TO THE EXTENT PERMITTED UNDER APPLICABLE LAW, ANY RIGHT EACH MAY HAVE TO ASSERT THE DOCTRINE OF </w:t>
      </w:r>
      <w:r>
        <w:rPr>
          <w:rFonts w:ascii="Arial" w:cs="Arial" w:eastAsia="Arial" w:hAnsi="Arial"/>
          <w:sz w:val="18"/>
          <w:szCs w:val="18"/>
          <w:u w:val="single" w:color="auto"/>
          <w:color w:val="auto"/>
        </w:rPr>
        <w:t>FORUM</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 CONVENIENS</w:t>
      </w:r>
      <w:r>
        <w:rPr>
          <w:rFonts w:ascii="Arial" w:cs="Arial" w:eastAsia="Arial" w:hAnsi="Arial"/>
          <w:sz w:val="18"/>
          <w:szCs w:val="18"/>
          <w:color w:val="auto"/>
        </w:rPr>
        <w:t xml:space="preserve"> OR TO OBJECT TO VENUE TO THE EXTENT ANY PROCEEDING IS BROUGHT IN ACCORDANCE WITH THIS </w:t>
      </w:r>
      <w:r>
        <w:rPr>
          <w:rFonts w:ascii="Arial" w:cs="Arial" w:eastAsia="Arial" w:hAnsi="Arial"/>
          <w:sz w:val="18"/>
          <w:szCs w:val="18"/>
          <w:u w:val="single" w:color="auto"/>
          <w:color w:val="auto"/>
        </w:rPr>
        <w:t>SECTION 12(b)</w:t>
      </w:r>
      <w:r>
        <w:rPr>
          <w:rFonts w:ascii="Arial" w:cs="Arial" w:eastAsia="Arial" w:hAnsi="Arial"/>
          <w:sz w:val="18"/>
          <w:szCs w:val="18"/>
          <w:color w:val="auto"/>
        </w:rPr>
        <w:t>.</w:t>
      </w:r>
    </w:p>
    <w:p>
      <w:pPr>
        <w:spacing w:after="0" w:line="196" w:lineRule="exact"/>
        <w:rPr>
          <w:rFonts w:ascii="Arial" w:cs="Arial" w:eastAsia="Arial" w:hAnsi="Arial"/>
          <w:sz w:val="18"/>
          <w:szCs w:val="18"/>
          <w:color w:val="010000"/>
        </w:rPr>
      </w:pPr>
    </w:p>
    <w:p>
      <w:pPr>
        <w:jc w:val="both"/>
        <w:ind w:firstLine="1304"/>
        <w:spacing w:after="0" w:line="271" w:lineRule="auto"/>
        <w:tabs>
          <w:tab w:leader="none" w:pos="2283" w:val="left"/>
        </w:tabs>
        <w:numPr>
          <w:ilvl w:val="1"/>
          <w:numId w:val="162"/>
        </w:numPr>
        <w:rPr>
          <w:rFonts w:ascii="Arial" w:cs="Arial" w:eastAsia="Arial" w:hAnsi="Arial"/>
          <w:sz w:val="17"/>
          <w:szCs w:val="17"/>
          <w:color w:val="010000"/>
        </w:rPr>
      </w:pPr>
      <w:r>
        <w:rPr>
          <w:rFonts w:ascii="Arial" w:cs="Arial" w:eastAsia="Arial" w:hAnsi="Arial"/>
          <w:sz w:val="17"/>
          <w:szCs w:val="17"/>
          <w:color w:val="auto"/>
        </w:rPr>
        <w:t>TO THE MAXIMUM EXTENT PERMITTED BY APPLICABLE LAW, EACH OF PARENT AND EACH BORROWER AND EACH MEMBER OF THE LENDER GROUP HEREBY WAIVE THEIR RESPECTIVE RIGHTS, IF ANY, TO A JURY TRIAL OF ANY CLAIM, CONTROVERSY, DISPUTE OR CAUSE OF ACTION DIRECTLY OR INDIRECTLY BASED UPON OR ARISING OUT OF ANY OF THE LOAN DOCUMENTS OR ANY OF THE TRANSACTIONS CONTEMPLATED THEREIN, INCLUDING CONTRACT CLAIMS, TORT CLAIMS, BREACH OF DUTY CLAIMS, AND ALL OTHER COMMON LAW OR STATUTORY CLAIMS (EACH A “CLAIM”). EACH OF PARENT AND EACH BORROWER AND EACH MEMBER OF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jc w:val="both"/>
        <w:ind w:firstLine="1304"/>
        <w:spacing w:after="0" w:line="254" w:lineRule="auto"/>
        <w:tabs>
          <w:tab w:leader="none" w:pos="2630"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EACH BORROWER HEREBY IRREVOCABLY AND UNCONDITIONALLY SUBMITS TO THE EXCLUSIVE JURISDICTION OF THE STATE AND FEDERAL COURTS LOCATED IN THE COUNTY OF NEW YORK AND THE STATE OF NEW YORK, IN ANY ACTION OR PROCEEDING ARISING OUT OF OR RELATING TO ANY LOAN DOCUMENTS, OR FOR RECOGNITION OR ENFORCEMENT OF ANY JUDGMENT.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AGENT MAY OTHERWISE HAVE TO BRING ANY ACTION OR PROCEEDING RELATING TO THIS AGREEMENT OR ANY OTHER LOAN DOCUMENT AGAINST ANY LOAN PARTY OR ITS PROPERTIES IN THE COURTS OF ANY JURISDICTION.</w:t>
      </w:r>
    </w:p>
    <w:p>
      <w:pPr>
        <w:spacing w:after="0" w:line="191" w:lineRule="exact"/>
        <w:rPr>
          <w:rFonts w:ascii="Arial" w:cs="Arial" w:eastAsia="Arial" w:hAnsi="Arial"/>
          <w:sz w:val="18"/>
          <w:szCs w:val="18"/>
          <w:color w:val="010000"/>
        </w:rPr>
      </w:pPr>
    </w:p>
    <w:p>
      <w:pPr>
        <w:jc w:val="both"/>
        <w:ind w:firstLine="1304"/>
        <w:spacing w:after="0" w:line="254" w:lineRule="auto"/>
        <w:tabs>
          <w:tab w:leader="none" w:pos="2472"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NO CLAIM MAY BE MADE BY ANY LOAN PARTY AGAINST AGENT, THE SWING LENDER, ANY OTHER LENDER, ISSUING BANK, OR ANY AFFILIATE, DIRECTOR, OFFICER, EMPLOYEE, COUNSEL, REPRESENTATIVE, AGENT, OR ATTORNEY-IN-FACT OF ANY OF THEM FOR ANY SPECIAL, INDIRECT, CONSEQUENTIAL, PUNITIVE OR EXEMPLARY DAMAGES OR LOSSES IN RESPECT OF ANY CLAIM FOR BREACH OF CONTRACT OR ANY OTHER THEORY OF LIABILITY ARISING OUT OF OR RELATED TO THE TRANSACTIONS CONTEMPLATED BY THIS AGREEMENT OR ANY OTHER LOAN DOCUMENT, OR ANY ACT, OMISSION, OR EVENT OCCURRING IN CONNECTION THEREWITH, AND EACH LOAN PARTY HEREBY WAIVES, RELEASES, AND AGREES NOT TO SUE UPON ANY CLAIM FOR SUCH DAMAGES, WHETHER OR NOT ACCRUED AND WHETHER OR NOT KNOWN OR SUSPECTED TO EXIST IN ITS FAVOR.</w:t>
      </w:r>
    </w:p>
    <w:p>
      <w:pPr>
        <w:spacing w:after="0" w:line="191" w:lineRule="exact"/>
        <w:rPr>
          <w:rFonts w:ascii="Arial" w:cs="Arial" w:eastAsia="Arial" w:hAnsi="Arial"/>
          <w:sz w:val="18"/>
          <w:szCs w:val="18"/>
          <w:color w:val="010000"/>
        </w:rPr>
      </w:pPr>
    </w:p>
    <w:p>
      <w:pPr>
        <w:jc w:val="both"/>
        <w:ind w:firstLine="1304"/>
        <w:spacing w:after="0" w:line="263" w:lineRule="auto"/>
        <w:tabs>
          <w:tab w:leader="none" w:pos="2537"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IN THE EVENT ANY LEGAL PROCEEDING IS FILED IN A COURT OF THE STATE OF CALIFORNIA (THE “COURT”) BY OR AGAINST ANY PARTY HERETO IN CONNECTION WITH ANY CLAIM AND THE WAIVER SET FORTH IN CLAUSE (C) ABOVE IS NOT ENFORCEABLE IN SUCH PROCEEDING, THE PARTIES HERETO AGREE AS FOLLOWS:</w:t>
      </w:r>
    </w:p>
    <w:p>
      <w:pPr>
        <w:spacing w:after="0" w:line="183" w:lineRule="exact"/>
        <w:rPr>
          <w:rFonts w:ascii="Arial" w:cs="Arial" w:eastAsia="Arial" w:hAnsi="Arial"/>
          <w:sz w:val="18"/>
          <w:szCs w:val="18"/>
          <w:color w:val="010000"/>
        </w:rPr>
      </w:pPr>
    </w:p>
    <w:p>
      <w:pPr>
        <w:jc w:val="both"/>
        <w:ind w:firstLine="1952"/>
        <w:spacing w:after="0" w:line="257" w:lineRule="auto"/>
        <w:tabs>
          <w:tab w:leader="none" w:pos="322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WITH THE EXCEPTION OF THE MATTERS SPECIFIED IN SUBCLAUSE (ii) 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w:t>
      </w:r>
    </w:p>
    <w:p>
      <w:pPr>
        <w:spacing w:after="0" w:line="187" w:lineRule="exact"/>
        <w:rPr>
          <w:rFonts w:ascii="Arial" w:cs="Arial" w:eastAsia="Arial" w:hAnsi="Arial"/>
          <w:sz w:val="18"/>
          <w:szCs w:val="18"/>
          <w:color w:val="auto"/>
        </w:rPr>
      </w:pPr>
    </w:p>
    <w:p>
      <w:pPr>
        <w:jc w:val="both"/>
        <w:ind w:firstLine="1952"/>
        <w:spacing w:after="0" w:line="254" w:lineRule="auto"/>
        <w:tabs>
          <w:tab w:leader="none" w:pos="283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FOLLOWING MATTERS SHALL NOT BE SUBJECT TO A GENERAL REFERENCE PROCEEDING: (A) NON-JUDICIAL FORECLOSURE OF ANY SECURITY INTERESTS IN REAL OR PERSONAL PROPERTY, (B) EXERCISE OF SELF-HELP REMEDIES (INCLUDING SET-OFF OR RECOUPMENT), (C) APPOINTMENT OF A RECEIVER, AND (D) TEMPORARY, PROVISIONAL, OR ANCILLARY REMEDIES (INCLUDING WRITS OF ATTACHMENT, WRITS OF POSSESSION, TEMPORARY RESTRAINING ORDERS, OR PRELIMINARY INJUNCTIONS). THIS AGREEMENT DOES NOT LIMIT THE RIGHT OF ANY PARTY TO EXERCISE OR OPPOSE ANY OF THE RIGHTS AND REMEDIES DESCRIBED IN CLAUSES (A) - (D) AND ANY SUCH EXERCISE OR OPPOSITION DOES NOT WAIVE THE RIGHT OF ANY PARTY TO PARTICIPATE IN A REFERENCE PROCEEDING PURSUANT TO THIS AGREEMENT WITH RESPECT TO ANY OTHER MATTER.</w:t>
      </w:r>
    </w:p>
    <w:p>
      <w:pPr>
        <w:spacing w:after="0" w:line="191" w:lineRule="exact"/>
        <w:rPr>
          <w:rFonts w:ascii="Arial" w:cs="Arial" w:eastAsia="Arial" w:hAnsi="Arial"/>
          <w:sz w:val="18"/>
          <w:szCs w:val="18"/>
          <w:color w:val="auto"/>
        </w:rPr>
      </w:pPr>
    </w:p>
    <w:p>
      <w:pPr>
        <w:jc w:val="both"/>
        <w:ind w:firstLine="1952"/>
        <w:spacing w:after="0" w:line="255" w:lineRule="auto"/>
        <w:tabs>
          <w:tab w:leader="none" w:pos="294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UPON THE WRITTEN REQUEST OF ANY PARTY, THE PARTIES SHALL SELECT A SINGLE REFEREE, WHO SHALL BE A RETIRED JUDGE OR JUSTICE. IF THE PARTIES DO NOT AGREE UPON A REFEREE WITHIN TEN DAYS OF SUCH WRITTEN REQUEST, THEN, ANY PARTY SHALL HAVE THE RIGHT TO REQUEST THE COURT TO APPOINT A REFEREE PURSUANT TO CALIFORNIA CODE OF CIVIL PROCEDURE SECTION 640(B). THE REFEREE SHALL BE APPOINTED TO SIT WITH ALL OF THE POWERS PROVIDED BY LAW. PENDING APPOINTMENT OF THE REFEREE, THE COURT SHALL HAVE THE POWER TO ISSUE TEMPORARY OR PROVISIONAL REMEDIES.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0" w:name="page231"/>
    <w:bookmarkEnd w:id="230"/>
    <w:p>
      <w:pPr>
        <w:jc w:val="both"/>
        <w:ind w:firstLine="1952"/>
        <w:spacing w:after="0" w:line="253" w:lineRule="auto"/>
        <w:tabs>
          <w:tab w:leader="none" w:pos="29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 SO REQUESTS A COURT REPORTER AND A TRANSCRIPT IS ORDERED, A COURT REPORTER SHALL BE USED AND THE REFEREE SHALL BE PROVIDED A COURTESY COPY OF THE TRANSCRIPT. THE PARTY MAKING SUCH REQUEST SHALL HAVE THE OBLIGATION TO ARRANGE FOR AND PAY THE COSTS OF THE COURT REPORTER; </w:t>
      </w:r>
      <w:r>
        <w:rPr>
          <w:rFonts w:ascii="Arial" w:cs="Arial" w:eastAsia="Arial" w:hAnsi="Arial"/>
          <w:sz w:val="18"/>
          <w:szCs w:val="18"/>
          <w:u w:val="single" w:color="auto"/>
          <w:color w:val="auto"/>
        </w:rPr>
        <w:t>PROVIDED</w:t>
      </w:r>
      <w:r>
        <w:rPr>
          <w:rFonts w:ascii="Arial" w:cs="Arial" w:eastAsia="Arial" w:hAnsi="Arial"/>
          <w:sz w:val="18"/>
          <w:szCs w:val="18"/>
          <w:color w:val="auto"/>
        </w:rPr>
        <w:t>, THAT SUCH COSTS, ALONG WITH THE REFEREE’S FEES, SHALL ULTIMATELY BE BORNE BY THE PARTY WHO DOES NOT PREVAIL, AS DETERMINED BY THE REFEREE.</w:t>
      </w:r>
    </w:p>
    <w:p>
      <w:pPr>
        <w:spacing w:after="0" w:line="196" w:lineRule="exact"/>
        <w:rPr>
          <w:rFonts w:ascii="Arial" w:cs="Arial" w:eastAsia="Arial" w:hAnsi="Arial"/>
          <w:sz w:val="18"/>
          <w:szCs w:val="18"/>
          <w:color w:val="auto"/>
        </w:rPr>
      </w:pPr>
    </w:p>
    <w:p>
      <w:pPr>
        <w:jc w:val="both"/>
        <w:ind w:firstLine="1952"/>
        <w:spacing w:after="0" w:line="259" w:lineRule="auto"/>
        <w:tabs>
          <w:tab w:leader="none" w:pos="298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w:t>
      </w:r>
    </w:p>
    <w:p>
      <w:pPr>
        <w:spacing w:after="0" w:line="186" w:lineRule="exact"/>
        <w:rPr>
          <w:rFonts w:ascii="Arial" w:cs="Arial" w:eastAsia="Arial" w:hAnsi="Arial"/>
          <w:sz w:val="18"/>
          <w:szCs w:val="18"/>
          <w:color w:val="auto"/>
        </w:rPr>
      </w:pPr>
    </w:p>
    <w:p>
      <w:pPr>
        <w:jc w:val="both"/>
        <w:ind w:firstLine="1952"/>
        <w:spacing w:after="0" w:line="253" w:lineRule="auto"/>
        <w:tabs>
          <w:tab w:leader="none" w:pos="290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 JUDGMENT. THE REFEREE SHALL REPORT HIS OR HER DECISION, WHICH REPORT SHALL ALSO INCLUDE FINDINGS OF FACT AND CONCLUSIONS OF LAW. THE REFEREE SHALL ISSUE A DECISION AND PURSUANT TO CALIFORNIA CODE OF CIVIL PROCEDURE, SECTION 644, THE REFEREE’S DECISION SHALL BE ENTERED BY THE COURT AS A JUDGMENT IN THE SAME MANNER AS IF THE ACTION HAD BEEN TRIED BY THE COURT. THE FINAL JUDGMENT OR ORDER FROM ANY APPEALABLE DECISION OR ORDER ENTERED BY THE REFEREE SHALL BE FULLY APPEALABLE AS IF IT HAS BEEN ENTERED BY THE COURT.</w:t>
      </w:r>
    </w:p>
    <w:p>
      <w:pPr>
        <w:spacing w:after="0" w:line="196" w:lineRule="exact"/>
        <w:rPr>
          <w:rFonts w:ascii="Arial" w:cs="Arial" w:eastAsia="Arial" w:hAnsi="Arial"/>
          <w:sz w:val="18"/>
          <w:szCs w:val="18"/>
          <w:color w:val="auto"/>
        </w:rPr>
      </w:pPr>
    </w:p>
    <w:p>
      <w:pPr>
        <w:jc w:val="both"/>
        <w:ind w:firstLine="1952"/>
        <w:spacing w:after="0" w:line="275" w:lineRule="auto"/>
        <w:tabs>
          <w:tab w:leader="none" w:pos="290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PARTIES RECOGNIZE AND AGREE THAT ALL CLAIMS RESOLVED IN A GENERAL REFERENCE PROCEEDING PURSUANT HERETO WILL BE DECIDED BY A REFEREE AND NOT BY A JURY. AFTER CONSULTING (OR HAVING HAD THE OPPORTUNITY TO CONSULT) WITH COUNSEL OF THEIR OWN CHOICE, EACH PARTY HERETO KNOWINGLY AND VOLUNTARILY AND FOR THEIR MUTUAL BENEFIT AGREES THAT THIS REFERENCE PROVISION SHALL APPLY TO ANY DISPUTE BETWEEN THEM THAT ARISES OUT OF OR IS RELATED TO THIS AGREEMENT OR THE OTHER LOAN DOCUMENTS.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p>
      <w:pPr>
        <w:ind w:left="900" w:hanging="892"/>
        <w:spacing w:after="0"/>
        <w:tabs>
          <w:tab w:leader="none" w:pos="900" w:val="left"/>
        </w:tabs>
        <w:numPr>
          <w:ilvl w:val="0"/>
          <w:numId w:val="165"/>
        </w:numPr>
        <w:rPr>
          <w:rFonts w:ascii="Arial" w:cs="Arial" w:eastAsia="Arial" w:hAnsi="Arial"/>
          <w:sz w:val="18"/>
          <w:szCs w:val="18"/>
          <w:color w:val="010000"/>
        </w:rPr>
      </w:pPr>
      <w:r>
        <w:rPr>
          <w:rFonts w:ascii="Arial" w:cs="Arial" w:eastAsia="Arial" w:hAnsi="Arial"/>
          <w:sz w:val="18"/>
          <w:szCs w:val="18"/>
          <w:b w:val="1"/>
          <w:bCs w:val="1"/>
          <w:color w:val="auto"/>
        </w:rPr>
        <w:t>ASSIGNMENTS AND PARTICIPATIONS; SUCCESSORS.</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13.1</w:t>
      </w:r>
      <w:r>
        <w:rPr>
          <w:sz w:val="20"/>
          <w:szCs w:val="20"/>
          <w:color w:val="auto"/>
        </w:rPr>
        <w:tab/>
      </w:r>
      <w:r>
        <w:rPr>
          <w:rFonts w:ascii="Arial" w:cs="Arial" w:eastAsia="Arial" w:hAnsi="Arial"/>
          <w:sz w:val="15"/>
          <w:szCs w:val="15"/>
          <w:b w:val="1"/>
          <w:bCs w:val="1"/>
          <w:u w:val="single" w:color="auto"/>
          <w:color w:val="auto"/>
        </w:rPr>
        <w:t>Assignments and Participations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63" w:lineRule="auto"/>
        <w:tabs>
          <w:tab w:leader="none" w:pos="1734"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(i) Subject to the conditions set forth in clause (a)(ii) below, any Lender may assign and delegate all or any portion of its rights and duties under the Loan Documents (including the Obligations owed to it and its Commitments) to one or more assignees (each, an “</w:t>
      </w:r>
      <w:r>
        <w:rPr>
          <w:rFonts w:ascii="Arial" w:cs="Arial" w:eastAsia="Arial" w:hAnsi="Arial"/>
          <w:sz w:val="18"/>
          <w:szCs w:val="18"/>
          <w:u w:val="single" w:color="auto"/>
          <w:color w:val="auto"/>
        </w:rPr>
        <w:t>Assignee</w:t>
      </w:r>
      <w:r>
        <w:rPr>
          <w:rFonts w:ascii="Arial" w:cs="Arial" w:eastAsia="Arial" w:hAnsi="Arial"/>
          <w:sz w:val="18"/>
          <w:szCs w:val="18"/>
          <w:color w:val="auto"/>
        </w:rPr>
        <w:t>”), with the prior written consent (such consent not be unreasonably withheld or delayed) of:</w:t>
      </w:r>
    </w:p>
    <w:p>
      <w:pPr>
        <w:spacing w:after="0" w:line="183" w:lineRule="exact"/>
        <w:rPr>
          <w:rFonts w:ascii="Arial" w:cs="Arial" w:eastAsia="Arial" w:hAnsi="Arial"/>
          <w:sz w:val="18"/>
          <w:szCs w:val="18"/>
          <w:color w:val="010000"/>
        </w:rPr>
      </w:pPr>
    </w:p>
    <w:p>
      <w:pPr>
        <w:jc w:val="both"/>
        <w:ind w:firstLine="2276"/>
        <w:spacing w:after="0" w:line="259" w:lineRule="auto"/>
        <w:tabs>
          <w:tab w:leader="none" w:pos="2776" w:val="left"/>
        </w:tabs>
        <w:numPr>
          <w:ilvl w:val="2"/>
          <w:numId w:val="166"/>
        </w:numPr>
        <w:rPr>
          <w:rFonts w:ascii="Arial" w:cs="Arial" w:eastAsia="Arial" w:hAnsi="Arial"/>
          <w:sz w:val="18"/>
          <w:szCs w:val="18"/>
          <w:color w:val="auto"/>
        </w:rPr>
      </w:pPr>
      <w:r>
        <w:rPr>
          <w:rFonts w:ascii="Arial" w:cs="Arial" w:eastAsia="Arial" w:hAnsi="Arial"/>
          <w:sz w:val="18"/>
          <w:szCs w:val="18"/>
          <w:color w:val="auto"/>
        </w:rPr>
        <w:t xml:space="preserve">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Borrowers shall be required (1) if an Event of Default pursuant to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has occurred and is continuing or (2) in connection with an assignment to a Person that is a Lender or an Affiliate (other than natural persons) of a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Borrowers shall be deemed to have consented to a proposed assignment unless they object thereto by written notice to Agent within five Business Days after having received notice thereof; and</w:t>
      </w:r>
    </w:p>
    <w:p>
      <w:pPr>
        <w:spacing w:after="0" w:line="186" w:lineRule="exact"/>
        <w:rPr>
          <w:rFonts w:ascii="Arial" w:cs="Arial" w:eastAsia="Arial" w:hAnsi="Arial"/>
          <w:sz w:val="18"/>
          <w:szCs w:val="18"/>
          <w:color w:val="auto"/>
        </w:rPr>
      </w:pPr>
    </w:p>
    <w:p>
      <w:pPr>
        <w:ind w:left="2740" w:hanging="464"/>
        <w:spacing w:after="0"/>
        <w:tabs>
          <w:tab w:leader="none" w:pos="274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Agent, Swing Lender, and Issuing Bank.</w:t>
      </w:r>
    </w:p>
    <w:p>
      <w:pPr>
        <w:spacing w:after="0" w:line="225" w:lineRule="exact"/>
        <w:rPr>
          <w:rFonts w:ascii="Arial" w:cs="Arial" w:eastAsia="Arial" w:hAnsi="Arial"/>
          <w:sz w:val="18"/>
          <w:szCs w:val="18"/>
          <w:color w:val="auto"/>
        </w:rPr>
      </w:pPr>
    </w:p>
    <w:p>
      <w:pPr>
        <w:ind w:left="2240" w:hanging="612"/>
        <w:spacing w:after="0"/>
        <w:tabs>
          <w:tab w:leader="none" w:pos="22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ind w:left="2760" w:hanging="484"/>
        <w:spacing w:after="0"/>
        <w:tabs>
          <w:tab w:leader="none" w:pos="276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no assignment may be made to (1) a Disqualified Institution or (2) a natural person,</w:t>
      </w:r>
    </w:p>
    <w:p>
      <w:pPr>
        <w:spacing w:after="0" w:line="225" w:lineRule="exact"/>
        <w:rPr>
          <w:rFonts w:ascii="Arial" w:cs="Arial" w:eastAsia="Arial" w:hAnsi="Arial"/>
          <w:sz w:val="18"/>
          <w:szCs w:val="18"/>
          <w:color w:val="auto"/>
        </w:rPr>
      </w:pPr>
    </w:p>
    <w:p>
      <w:pPr>
        <w:ind w:left="2560" w:hanging="284"/>
        <w:spacing w:after="0"/>
        <w:tabs>
          <w:tab w:leader="none" w:pos="256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no assignment may be made to a Loan Party, an Affiliate of a Loan Party, or any Sponsor Affiliated Entity,</w:t>
      </w:r>
    </w:p>
    <w:p>
      <w:pPr>
        <w:spacing w:after="0" w:line="225" w:lineRule="exact"/>
        <w:rPr>
          <w:rFonts w:ascii="Arial" w:cs="Arial" w:eastAsia="Arial" w:hAnsi="Arial"/>
          <w:sz w:val="18"/>
          <w:szCs w:val="18"/>
          <w:color w:val="auto"/>
        </w:rPr>
      </w:pPr>
    </w:p>
    <w:p>
      <w:pPr>
        <w:jc w:val="both"/>
        <w:ind w:firstLine="2276"/>
        <w:spacing w:after="0" w:line="255" w:lineRule="auto"/>
        <w:tabs>
          <w:tab w:leader="none" w:pos="2744" w:val="left"/>
        </w:tabs>
        <w:numPr>
          <w:ilvl w:val="2"/>
          <w:numId w:val="166"/>
        </w:numPr>
        <w:rPr>
          <w:rFonts w:ascii="Arial" w:cs="Arial" w:eastAsia="Arial" w:hAnsi="Arial"/>
          <w:sz w:val="18"/>
          <w:szCs w:val="18"/>
          <w:color w:val="auto"/>
        </w:rPr>
      </w:pPr>
      <w:r>
        <w:rPr>
          <w:rFonts w:ascii="Arial" w:cs="Arial" w:eastAsia="Arial" w:hAnsi="Arial"/>
          <w:sz w:val="18"/>
          <w:szCs w:val="18"/>
          <w:color w:val="auto"/>
        </w:rPr>
        <w:t>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(I) an assignment or delegation by any Lender to any other Lender, an Affiliate of any Lender, or a Related Fund of such Lender, or (II) a group of new Lenders, each of which is an Affiliate of each other or a Related Fund of such new Lender to the extent that the aggregate amount to be assigned to all such new Lenders is at least $5,000,000),</w:t>
      </w:r>
    </w:p>
    <w:p>
      <w:pPr>
        <w:spacing w:after="0" w:line="192" w:lineRule="exact"/>
        <w:rPr>
          <w:rFonts w:ascii="Arial" w:cs="Arial" w:eastAsia="Arial" w:hAnsi="Arial"/>
          <w:sz w:val="18"/>
          <w:szCs w:val="18"/>
          <w:color w:val="auto"/>
        </w:rPr>
      </w:pPr>
    </w:p>
    <w:p>
      <w:pPr>
        <w:ind w:left="2820" w:hanging="544"/>
        <w:spacing w:after="0"/>
        <w:tabs>
          <w:tab w:leader="none" w:pos="2820" w:val="left"/>
        </w:tabs>
        <w:numPr>
          <w:ilvl w:val="2"/>
          <w:numId w:val="166"/>
        </w:numPr>
        <w:rPr>
          <w:rFonts w:ascii="Arial" w:cs="Arial" w:eastAsia="Arial" w:hAnsi="Arial"/>
          <w:sz w:val="16"/>
          <w:szCs w:val="16"/>
          <w:color w:val="auto"/>
        </w:rPr>
      </w:pPr>
      <w:r>
        <w:rPr>
          <w:rFonts w:ascii="Arial" w:cs="Arial" w:eastAsia="Arial" w:hAnsi="Arial"/>
          <w:sz w:val="16"/>
          <w:szCs w:val="16"/>
          <w:color w:val="auto"/>
        </w:rPr>
        <w:t>each partial assignment shall be made as an assignment of a proportionate part of all the assigning Lender’s rights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obligations under this Agreement,</w:t>
      </w:r>
    </w:p>
    <w:p>
      <w:pPr>
        <w:spacing w:after="0" w:line="210" w:lineRule="exact"/>
        <w:rPr>
          <w:rFonts w:ascii="Arial" w:cs="Arial" w:eastAsia="Arial" w:hAnsi="Arial"/>
          <w:sz w:val="16"/>
          <w:szCs w:val="16"/>
          <w:color w:val="auto"/>
        </w:rPr>
      </w:pPr>
    </w:p>
    <w:p>
      <w:pPr>
        <w:jc w:val="both"/>
        <w:ind w:firstLine="2276"/>
        <w:spacing w:after="0" w:line="259" w:lineRule="auto"/>
        <w:tabs>
          <w:tab w:leader="none" w:pos="2827" w:val="left"/>
        </w:tabs>
        <w:numPr>
          <w:ilvl w:val="2"/>
          <w:numId w:val="166"/>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Agent an Assignment and Acceptance; </w:t>
      </w:r>
      <w:r>
        <w:rPr>
          <w:rFonts w:ascii="Arial" w:cs="Arial" w:eastAsia="Arial" w:hAnsi="Arial"/>
          <w:sz w:val="18"/>
          <w:szCs w:val="18"/>
          <w:u w:val="single" w:color="auto"/>
          <w:color w:val="auto"/>
        </w:rPr>
        <w:t>provided</w:t>
      </w:r>
      <w:r>
        <w:rPr>
          <w:rFonts w:ascii="Arial" w:cs="Arial" w:eastAsia="Arial" w:hAnsi="Arial"/>
          <w:sz w:val="18"/>
          <w:szCs w:val="18"/>
          <w:color w:val="auto"/>
        </w:rPr>
        <w:t>, that Borrowers and Agent may continue to deal solely and directly with the assigning Lender in connection with the interest so assigned to an Assignee until written notice of such assignment, together with payment instructions, addresses, and related information with respect to the Assignee, have been given to Borrowers and Agent by such Lender and the Assignee,</w:t>
      </w:r>
    </w:p>
    <w:p>
      <w:pPr>
        <w:spacing w:after="0" w:line="186" w:lineRule="exact"/>
        <w:rPr>
          <w:rFonts w:ascii="Arial" w:cs="Arial" w:eastAsia="Arial" w:hAnsi="Arial"/>
          <w:sz w:val="18"/>
          <w:szCs w:val="18"/>
          <w:color w:val="auto"/>
        </w:rPr>
      </w:pPr>
    </w:p>
    <w:p>
      <w:pPr>
        <w:ind w:firstLine="2276"/>
        <w:spacing w:after="0" w:line="277" w:lineRule="auto"/>
        <w:tabs>
          <w:tab w:leader="none" w:pos="2866" w:val="left"/>
        </w:tabs>
        <w:numPr>
          <w:ilvl w:val="2"/>
          <w:numId w:val="166"/>
        </w:numPr>
        <w:rPr>
          <w:rFonts w:ascii="Arial" w:cs="Arial" w:eastAsia="Arial" w:hAnsi="Arial"/>
          <w:sz w:val="18"/>
          <w:szCs w:val="18"/>
          <w:color w:val="auto"/>
        </w:rPr>
      </w:pPr>
      <w:r>
        <w:rPr>
          <w:rFonts w:ascii="Arial" w:cs="Arial" w:eastAsia="Arial" w:hAnsi="Arial"/>
          <w:sz w:val="18"/>
          <w:szCs w:val="18"/>
          <w:color w:val="auto"/>
        </w:rPr>
        <w:t>unless waived by Agent, the assigning Lender or Assignee has paid to Agent, for Agent’s separate account, a processing fee in the amount of $3,500, and</w:t>
      </w:r>
    </w:p>
    <w:p>
      <w:pPr>
        <w:spacing w:after="0" w:line="170" w:lineRule="exact"/>
        <w:rPr>
          <w:rFonts w:ascii="Arial" w:cs="Arial" w:eastAsia="Arial" w:hAnsi="Arial"/>
          <w:sz w:val="18"/>
          <w:szCs w:val="18"/>
          <w:color w:val="auto"/>
        </w:rPr>
      </w:pPr>
    </w:p>
    <w:p>
      <w:pPr>
        <w:ind w:firstLine="2276"/>
        <w:spacing w:after="0" w:line="277" w:lineRule="auto"/>
        <w:tabs>
          <w:tab w:leader="none" w:pos="2841" w:val="left"/>
        </w:tabs>
        <w:numPr>
          <w:ilvl w:val="2"/>
          <w:numId w:val="166"/>
        </w:numPr>
        <w:rPr>
          <w:rFonts w:ascii="Arial" w:cs="Arial" w:eastAsia="Arial" w:hAnsi="Arial"/>
          <w:sz w:val="18"/>
          <w:szCs w:val="18"/>
          <w:color w:val="auto"/>
        </w:rPr>
      </w:pPr>
      <w:r>
        <w:rPr>
          <w:rFonts w:ascii="Arial" w:cs="Arial" w:eastAsia="Arial" w:hAnsi="Arial"/>
          <w:sz w:val="18"/>
          <w:szCs w:val="18"/>
          <w:color w:val="auto"/>
        </w:rPr>
        <w:t>the assignee, if it is not a Lender, shall deliver to Agent an Administrative Questionnaire in a form approved by Agent (the “</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4"/>
        <w:spacing w:after="0" w:line="270" w:lineRule="auto"/>
        <w:tabs>
          <w:tab w:leader="none" w:pos="2401" w:val="left"/>
        </w:tabs>
        <w:numPr>
          <w:ilvl w:val="0"/>
          <w:numId w:val="166"/>
        </w:numPr>
        <w:rPr>
          <w:rFonts w:ascii="Arial" w:cs="Arial" w:eastAsia="Arial" w:hAnsi="Arial"/>
          <w:sz w:val="17"/>
          <w:szCs w:val="17"/>
          <w:color w:val="010000"/>
        </w:rPr>
      </w:pPr>
      <w:r>
        <w:rPr>
          <w:rFonts w:ascii="Arial" w:cs="Arial" w:eastAsia="Arial" w:hAnsi="Arial"/>
          <w:sz w:val="17"/>
          <w:szCs w:val="17"/>
          <w:color w:val="auto"/>
        </w:rPr>
        <w:t xml:space="preserve">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contained herein shall release any assigning Lender from obligations that survive the termination of this Agreement, including such assigning Lender’s obligations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17.9(a)</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jc w:val="both"/>
        <w:ind w:firstLine="1304"/>
        <w:spacing w:after="0" w:line="286" w:lineRule="auto"/>
        <w:tabs>
          <w:tab w:leader="none" w:pos="2310" w:val="left"/>
        </w:tabs>
        <w:numPr>
          <w:ilvl w:val="0"/>
          <w:numId w:val="167"/>
        </w:numPr>
        <w:rPr>
          <w:rFonts w:ascii="Arial" w:cs="Arial" w:eastAsia="Arial" w:hAnsi="Arial"/>
          <w:sz w:val="16"/>
          <w:szCs w:val="16"/>
          <w:color w:val="010000"/>
        </w:rPr>
      </w:pPr>
      <w:r>
        <w:rPr>
          <w:rFonts w:ascii="Arial" w:cs="Arial" w:eastAsia="Arial" w:hAnsi="Arial"/>
          <w:sz w:val="16"/>
          <w:szCs w:val="16"/>
          <w:color w:val="auto"/>
        </w:rPr>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spacing w:after="0" w:line="173" w:lineRule="exact"/>
        <w:rPr>
          <w:rFonts w:ascii="Arial" w:cs="Arial" w:eastAsia="Arial" w:hAnsi="Arial"/>
          <w:sz w:val="16"/>
          <w:szCs w:val="16"/>
          <w:color w:val="010000"/>
        </w:rPr>
      </w:pPr>
    </w:p>
    <w:p>
      <w:pPr>
        <w:jc w:val="both"/>
        <w:ind w:firstLine="1304"/>
        <w:spacing w:after="0" w:line="259" w:lineRule="auto"/>
        <w:tabs>
          <w:tab w:leader="none" w:pos="2482" w:val="left"/>
        </w:tabs>
        <w:numPr>
          <w:ilvl w:val="0"/>
          <w:numId w:val="167"/>
        </w:numPr>
        <w:rPr>
          <w:rFonts w:ascii="Arial" w:cs="Arial" w:eastAsia="Arial" w:hAnsi="Arial"/>
          <w:sz w:val="18"/>
          <w:szCs w:val="18"/>
          <w:color w:val="010000"/>
        </w:rPr>
      </w:pPr>
      <w:r>
        <w:rPr>
          <w:rFonts w:ascii="Arial" w:cs="Arial" w:eastAsia="Arial" w:hAnsi="Arial"/>
          <w:sz w:val="18"/>
          <w:szCs w:val="18"/>
          <w:color w:val="auto"/>
        </w:rPr>
        <w:t xml:space="preserve">Immediately upon Agent’s receipt of the required processing fee, if applicable, and delivery of notice to the assigning Lender pursuant to </w:t>
      </w:r>
      <w:r>
        <w:rPr>
          <w:rFonts w:ascii="Arial" w:cs="Arial" w:eastAsia="Arial" w:hAnsi="Arial"/>
          <w:sz w:val="18"/>
          <w:szCs w:val="18"/>
          <w:u w:val="single" w:color="auto"/>
          <w:color w:val="auto"/>
        </w:rPr>
        <w:t>Section 13.1(b)</w:t>
      </w:r>
      <w:r>
        <w:rPr>
          <w:rFonts w:ascii="Arial" w:cs="Arial" w:eastAsia="Arial" w:hAnsi="Arial"/>
          <w:sz w:val="18"/>
          <w:szCs w:val="18"/>
          <w:color w:val="auto"/>
        </w:rPr>
        <w:t xml:space="preserv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Arial" w:cs="Arial" w:eastAsia="Arial" w:hAnsi="Arial"/>
          <w:sz w:val="18"/>
          <w:szCs w:val="18"/>
          <w:i w:val="1"/>
          <w:iCs w:val="1"/>
          <w:color w:val="auto"/>
        </w:rPr>
        <w:t>pro tanto</w:t>
      </w:r>
      <w:r>
        <w:rPr>
          <w:rFonts w:ascii="Arial" w:cs="Arial" w:eastAsia="Arial" w:hAnsi="Arial"/>
          <w:sz w:val="18"/>
          <w:szCs w:val="18"/>
          <w:color w:val="auto"/>
        </w:rPr>
        <w:t>.</w:t>
      </w:r>
    </w:p>
    <w:p>
      <w:pPr>
        <w:spacing w:after="0" w:line="186" w:lineRule="exact"/>
        <w:rPr>
          <w:rFonts w:ascii="Arial" w:cs="Arial" w:eastAsia="Arial" w:hAnsi="Arial"/>
          <w:sz w:val="18"/>
          <w:szCs w:val="18"/>
          <w:color w:val="010000"/>
        </w:rPr>
      </w:pPr>
    </w:p>
    <w:p>
      <w:pPr>
        <w:jc w:val="both"/>
        <w:ind w:firstLine="1304"/>
        <w:spacing w:after="0" w:line="284" w:lineRule="auto"/>
        <w:tabs>
          <w:tab w:leader="none" w:pos="2283" w:val="left"/>
        </w:tabs>
        <w:numPr>
          <w:ilvl w:val="0"/>
          <w:numId w:val="167"/>
        </w:numPr>
        <w:rPr>
          <w:rFonts w:ascii="Arial" w:cs="Arial" w:eastAsia="Arial" w:hAnsi="Arial"/>
          <w:sz w:val="16"/>
          <w:szCs w:val="16"/>
          <w:color w:val="010000"/>
        </w:rPr>
      </w:pPr>
      <w:r>
        <w:rPr>
          <w:rFonts w:ascii="Arial" w:cs="Arial" w:eastAsia="Arial" w:hAnsi="Arial"/>
          <w:sz w:val="16"/>
          <w:szCs w:val="16"/>
          <w:color w:val="auto"/>
        </w:rPr>
        <w:t>Any Lender may at any time sell to one or more commercial banks, financial institutions, or other Persons (a “</w:t>
      </w:r>
      <w:r>
        <w:rPr>
          <w:rFonts w:ascii="Arial" w:cs="Arial" w:eastAsia="Arial" w:hAnsi="Arial"/>
          <w:sz w:val="16"/>
          <w:szCs w:val="16"/>
          <w:u w:val="single" w:color="auto"/>
          <w:color w:val="auto"/>
        </w:rPr>
        <w:t>Participant</w:t>
      </w:r>
      <w:r>
        <w:rPr>
          <w:rFonts w:ascii="Arial" w:cs="Arial" w:eastAsia="Arial" w:hAnsi="Arial"/>
          <w:sz w:val="16"/>
          <w:szCs w:val="16"/>
          <w:color w:val="auto"/>
        </w:rPr>
        <w:t>”) participating interests in all or any portion of its Obligations, its Commitment, and the other rights and interests of that Lender (the “</w:t>
      </w:r>
      <w:r>
        <w:rPr>
          <w:rFonts w:ascii="Arial" w:cs="Arial" w:eastAsia="Arial" w:hAnsi="Arial"/>
          <w:sz w:val="16"/>
          <w:szCs w:val="16"/>
          <w:u w:val="single" w:color="auto"/>
          <w:color w:val="auto"/>
        </w:rPr>
        <w:t>Originating Lender</w:t>
      </w:r>
      <w:r>
        <w:rPr>
          <w:rFonts w:ascii="Arial" w:cs="Arial" w:eastAsia="Arial" w:hAnsi="Arial"/>
          <w:sz w:val="16"/>
          <w:szCs w:val="16"/>
          <w:color w:val="auto"/>
        </w:rPr>
        <w:t xml:space="preserve">”)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decreases the amount or postpones the due dates of scheduled principal repayments or prepayments or premiums payable to such Participant through such Lender, (v) no participation shall be sold to a natural person, (vi) no participation shall be sold to a Loan Party, an Affiliate of a Loan Party, or any Sponsor Affiliated Entity, and (vii) all amounts payable by Borrowers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Borrowers, the Collateral, or otherwise in respect of the Obligations. No Participant shall have the right to participate directly in the making of decisions by the Lenders among themselves.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3" w:name="page234"/>
    <w:bookmarkEnd w:id="233"/>
    <w:p>
      <w:pPr>
        <w:jc w:val="both"/>
        <w:ind w:firstLine="1304"/>
        <w:spacing w:after="0" w:line="286" w:lineRule="auto"/>
        <w:tabs>
          <w:tab w:leader="none" w:pos="2335" w:val="left"/>
        </w:tabs>
        <w:numPr>
          <w:ilvl w:val="0"/>
          <w:numId w:val="168"/>
        </w:numPr>
        <w:rPr>
          <w:rFonts w:ascii="Arial" w:cs="Arial" w:eastAsia="Arial" w:hAnsi="Arial"/>
          <w:sz w:val="17"/>
          <w:szCs w:val="17"/>
          <w:color w:val="010000"/>
        </w:rPr>
      </w:pPr>
      <w:r>
        <w:rPr>
          <w:rFonts w:ascii="Arial" w:cs="Arial" w:eastAsia="Arial" w:hAnsi="Arial"/>
          <w:sz w:val="17"/>
          <w:szCs w:val="17"/>
          <w:color w:val="auto"/>
        </w:rPr>
        <w:t xml:space="preserve">In connection with any such assignment or participation or proposed assignment or participation or any grant of a security interest in, or pledge of, its rights under and interest in this Agreement, a Lender may, subject to the provisions of </w:t>
      </w:r>
      <w:r>
        <w:rPr>
          <w:rFonts w:ascii="Arial" w:cs="Arial" w:eastAsia="Arial" w:hAnsi="Arial"/>
          <w:sz w:val="17"/>
          <w:szCs w:val="17"/>
          <w:u w:val="single" w:color="auto"/>
          <w:color w:val="auto"/>
        </w:rPr>
        <w:t>Section 17.9</w:t>
      </w:r>
      <w:r>
        <w:rPr>
          <w:rFonts w:ascii="Arial" w:cs="Arial" w:eastAsia="Arial" w:hAnsi="Arial"/>
          <w:sz w:val="17"/>
          <w:szCs w:val="17"/>
          <w:color w:val="auto"/>
        </w:rPr>
        <w:t>, disclose all documents and information which it now or hereafter may have relating to any Loan Party and its Subsidiaries and their respective businesses.</w:t>
      </w:r>
    </w:p>
    <w:p>
      <w:pPr>
        <w:spacing w:after="0" w:line="165" w:lineRule="exact"/>
        <w:rPr>
          <w:rFonts w:ascii="Arial" w:cs="Arial" w:eastAsia="Arial" w:hAnsi="Arial"/>
          <w:sz w:val="17"/>
          <w:szCs w:val="17"/>
          <w:color w:val="010000"/>
        </w:rPr>
      </w:pPr>
    </w:p>
    <w:p>
      <w:pPr>
        <w:jc w:val="both"/>
        <w:ind w:firstLine="1304"/>
        <w:spacing w:after="0" w:line="275" w:lineRule="auto"/>
        <w:tabs>
          <w:tab w:leader="none" w:pos="2279" w:val="left"/>
        </w:tabs>
        <w:numPr>
          <w:ilvl w:val="0"/>
          <w:numId w:val="168"/>
        </w:numPr>
        <w:rPr>
          <w:rFonts w:ascii="Arial" w:cs="Arial" w:eastAsia="Arial" w:hAnsi="Arial"/>
          <w:sz w:val="17"/>
          <w:szCs w:val="17"/>
          <w:color w:val="010000"/>
        </w:rPr>
      </w:pPr>
      <w:r>
        <w:rPr>
          <w:rFonts w:ascii="Arial" w:cs="Arial" w:eastAsia="Arial" w:hAnsi="Arial"/>
          <w:sz w:val="17"/>
          <w:szCs w:val="17"/>
          <w:color w:val="auto"/>
        </w:rPr>
        <w:t xml:space="preserve">Any other provision in this Agreement notwithstanding, any Lender may at any time create a security interest in, or pledge, all or any portion of its rights under and interest in this Agreement to secure obligations of such Lender, including any pledge in favor of any Federal Reserve Bank in accordance with Regulation A of the Federal Reserve Bank or U.S. Treasury Regulation 31 CFR §203.24, and such Federal Reserve Bank may enforce such pledge or security interest in any manner permitted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pledge shall release such Lender from any of its obligations hereunder or substitute any such pledgee or assignee for such Lender as a party hereto.</w:t>
      </w:r>
    </w:p>
    <w:p>
      <w:pPr>
        <w:spacing w:after="0" w:line="176" w:lineRule="exact"/>
        <w:rPr>
          <w:rFonts w:ascii="Arial" w:cs="Arial" w:eastAsia="Arial" w:hAnsi="Arial"/>
          <w:sz w:val="17"/>
          <w:szCs w:val="17"/>
          <w:color w:val="010000"/>
        </w:rPr>
      </w:pPr>
    </w:p>
    <w:p>
      <w:pPr>
        <w:jc w:val="both"/>
        <w:ind w:firstLine="1304"/>
        <w:spacing w:after="0" w:line="267" w:lineRule="auto"/>
        <w:tabs>
          <w:tab w:leader="none" w:pos="2225" w:val="left"/>
        </w:tabs>
        <w:numPr>
          <w:ilvl w:val="0"/>
          <w:numId w:val="168"/>
        </w:numPr>
        <w:rPr>
          <w:rFonts w:ascii="Arial" w:cs="Arial" w:eastAsia="Arial" w:hAnsi="Arial"/>
          <w:sz w:val="17"/>
          <w:szCs w:val="17"/>
          <w:color w:val="010000"/>
        </w:rPr>
      </w:pPr>
      <w:r>
        <w:rPr>
          <w:rFonts w:ascii="Arial" w:cs="Arial" w:eastAsia="Arial" w:hAnsi="Arial"/>
          <w:sz w:val="17"/>
          <w:szCs w:val="17"/>
          <w:color w:val="auto"/>
        </w:rPr>
        <w:t>Agent (as a non-fiduciary agent on behalf of Borrowers) shall maintain, or cause to be maintained, a register (the “</w:t>
      </w:r>
      <w:r>
        <w:rPr>
          <w:rFonts w:ascii="Arial" w:cs="Arial" w:eastAsia="Arial" w:hAnsi="Arial"/>
          <w:sz w:val="17"/>
          <w:szCs w:val="17"/>
          <w:u w:val="single" w:color="auto"/>
          <w:color w:val="auto"/>
        </w:rPr>
        <w:t>Register</w:t>
      </w:r>
      <w:r>
        <w:rPr>
          <w:rFonts w:ascii="Arial" w:cs="Arial" w:eastAsia="Arial" w:hAnsi="Arial"/>
          <w:sz w:val="17"/>
          <w:szCs w:val="17"/>
          <w:color w:val="auto"/>
        </w:rPr>
        <w:t>”) on which it enters the name and address of each Lender as the registered owner of any Revolving Loan (and the principal amount thereof and stated interest thereon) held by such Lender (each, a “</w:t>
      </w:r>
      <w:r>
        <w:rPr>
          <w:rFonts w:ascii="Arial" w:cs="Arial" w:eastAsia="Arial" w:hAnsi="Arial"/>
          <w:sz w:val="17"/>
          <w:szCs w:val="17"/>
          <w:u w:val="single" w:color="auto"/>
          <w:color w:val="auto"/>
        </w:rPr>
        <w:t>Registered Loan</w:t>
      </w:r>
      <w:r>
        <w:rPr>
          <w:rFonts w:ascii="Arial" w:cs="Arial" w:eastAsia="Arial" w:hAnsi="Arial"/>
          <w:sz w:val="17"/>
          <w:szCs w:val="17"/>
          <w:color w:val="auto"/>
        </w:rPr>
        <w:t xml:space="preserve">”). Other than in connection with an assignment by a Lender of all or any portion of its portion of a Revolving Loan to an Affiliate of such Lender or a Related Fund of such Lender (i) a Registered Loan (and the registered note, if any, evidencing the same) may be assigned or sold in whole or in part only by registration of such assignment or sale on the Register (and each registered note shall expressly so provide) and (ii)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 Prior to the registration of assignment or sale of any Registered Loan (and the registered note, if any evidencing the same), Borrowers shall treat the Person in whose name such Registered Loan (and the registered note, if any, evidencing the same) is registered as the owner thereof for the purpose of receiving all payments thereon and for all other purposes, notwithstanding notice to the contrary. In the case of any assignment by a Lender of all or any portion of its Revolving Loan to an Affiliate of such Lender or a Related Fund of such Lender, and which assignment is not recorded in the Register, the assigning Lender, on behalf of Borrowers, shall maintain a register comparable to the Register. This </w:t>
      </w:r>
      <w:r>
        <w:rPr>
          <w:rFonts w:ascii="Arial" w:cs="Arial" w:eastAsia="Arial" w:hAnsi="Arial"/>
          <w:sz w:val="17"/>
          <w:szCs w:val="17"/>
          <w:u w:val="single" w:color="auto"/>
          <w:color w:val="auto"/>
        </w:rPr>
        <w:t>Section 13.1(h)</w:t>
      </w:r>
      <w:r>
        <w:rPr>
          <w:rFonts w:ascii="Arial" w:cs="Arial" w:eastAsia="Arial" w:hAnsi="Arial"/>
          <w:sz w:val="17"/>
          <w:szCs w:val="17"/>
          <w:color w:val="auto"/>
        </w:rPr>
        <w:t xml:space="preserve"> shall be construed so that all Loans are at all times maintained in “registered form” within the meaning of Sections 163(f), 871(h)(2) and 881(c)(2) of the IRC and any related regulations of the United States Treasury Department (or any other relevant or successor provisions of the IRC or of such United States Treasury Regulations).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4" w:name="page235"/>
    <w:bookmarkEnd w:id="234"/>
    <w:p>
      <w:pPr>
        <w:jc w:val="both"/>
        <w:ind w:firstLine="1304"/>
        <w:spacing w:after="0" w:line="287" w:lineRule="auto"/>
        <w:tabs>
          <w:tab w:leader="none" w:pos="2406" w:val="left"/>
        </w:tabs>
        <w:numPr>
          <w:ilvl w:val="0"/>
          <w:numId w:val="169"/>
        </w:numPr>
        <w:rPr>
          <w:rFonts w:ascii="Arial" w:cs="Arial" w:eastAsia="Arial" w:hAnsi="Arial"/>
          <w:sz w:val="16"/>
          <w:szCs w:val="16"/>
          <w:color w:val="010000"/>
        </w:rPr>
      </w:pPr>
      <w:r>
        <w:rPr>
          <w:rFonts w:ascii="Arial" w:cs="Arial" w:eastAsia="Arial" w:hAnsi="Arial"/>
          <w:sz w:val="16"/>
          <w:szCs w:val="16"/>
          <w:color w:val="auto"/>
        </w:rPr>
        <w:t>In the event that a Lender sells participations in the Registered Loan, such Lender, as a non-fiduciary agent on behalf of Borrowers, shall maintain (or cause to be maintained) a register on which it enters the name of all participants in the Registered Loans held by it (and the principal amount (and stated interest thereon) of the portion of such Registered Loans that is subject to such participations)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A Registered Loan (and the registered note, if any, evidencing the same)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spacing w:after="0" w:line="167" w:lineRule="exact"/>
        <w:rPr>
          <w:rFonts w:ascii="Arial" w:cs="Arial" w:eastAsia="Arial" w:hAnsi="Arial"/>
          <w:sz w:val="16"/>
          <w:szCs w:val="16"/>
          <w:color w:val="010000"/>
        </w:rPr>
      </w:pPr>
    </w:p>
    <w:p>
      <w:pPr>
        <w:ind w:firstLine="1304"/>
        <w:spacing w:after="0" w:line="277" w:lineRule="auto"/>
        <w:tabs>
          <w:tab w:leader="none" w:pos="2325" w:val="left"/>
        </w:tabs>
        <w:numPr>
          <w:ilvl w:val="0"/>
          <w:numId w:val="169"/>
        </w:numPr>
        <w:rPr>
          <w:rFonts w:ascii="Arial" w:cs="Arial" w:eastAsia="Arial" w:hAnsi="Arial"/>
          <w:sz w:val="18"/>
          <w:szCs w:val="18"/>
          <w:color w:val="010000"/>
        </w:rPr>
      </w:pPr>
      <w:r>
        <w:rPr>
          <w:rFonts w:ascii="Arial" w:cs="Arial" w:eastAsia="Arial" w:hAnsi="Arial"/>
          <w:sz w:val="18"/>
          <w:szCs w:val="18"/>
          <w:color w:val="auto"/>
        </w:rPr>
        <w:t>Agent shall make a copy of the Register (and each Lender shall make a copy of its Participant Register to the extent it has one) available for review by Borrowers from time to time as Borrowers may reasonably request.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010000"/>
        </w:rPr>
        <w:t xml:space="preserve">13.2 </w:t>
      </w:r>
      <w:r>
        <w:rPr>
          <w:rFonts w:ascii="Arial" w:cs="Arial" w:eastAsia="Arial" w:hAnsi="Arial"/>
          <w:sz w:val="17"/>
          <w:szCs w:val="17"/>
          <w:b w:val="1"/>
          <w:bCs w:val="1"/>
          <w:u w:val="single" w:color="auto"/>
          <w:color w:val="000000"/>
        </w:rPr>
        <w:t>Successors</w:t>
      </w:r>
      <w:r>
        <w:rPr>
          <w:rFonts w:ascii="Arial" w:cs="Arial" w:eastAsia="Arial" w:hAnsi="Arial"/>
          <w:sz w:val="17"/>
          <w:szCs w:val="17"/>
          <w:color w:val="000000"/>
        </w:rPr>
        <w:t>. This Agreement shall bind and inure to the benefit of the respective successors and assigns of each of the parties;</w:t>
      </w:r>
      <w:r>
        <w:rPr>
          <w:rFonts w:ascii="Arial" w:cs="Arial" w:eastAsia="Arial" w:hAnsi="Arial"/>
          <w:sz w:val="17"/>
          <w:szCs w:val="17"/>
          <w:b w:val="1"/>
          <w:bCs w:val="1"/>
          <w:color w:val="010000"/>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no Borrower may assign this Agreement or any rights or duties hereunder without the Lenders’ prior written consent and any prohibited assignment shall be absolutely void </w:t>
      </w:r>
      <w:r>
        <w:rPr>
          <w:rFonts w:ascii="Arial" w:cs="Arial" w:eastAsia="Arial" w:hAnsi="Arial"/>
          <w:sz w:val="17"/>
          <w:szCs w:val="17"/>
          <w:i w:val="1"/>
          <w:iCs w:val="1"/>
          <w:color w:val="000000"/>
        </w:rPr>
        <w:t>ab initio</w:t>
      </w:r>
      <w:r>
        <w:rPr>
          <w:rFonts w:ascii="Arial" w:cs="Arial" w:eastAsia="Arial" w:hAnsi="Arial"/>
          <w:sz w:val="17"/>
          <w:szCs w:val="17"/>
          <w:color w:val="000000"/>
        </w:rPr>
        <w:t xml:space="preserve">. No consent to assignment by the Lenders shall release any Borrower from its Obligations. A Lender may assign this Agreement and the other Loan Documents and its rights and duties hereunder and thereunder pursuant to </w:t>
      </w:r>
      <w:r>
        <w:rPr>
          <w:rFonts w:ascii="Arial" w:cs="Arial" w:eastAsia="Arial" w:hAnsi="Arial"/>
          <w:sz w:val="17"/>
          <w:szCs w:val="17"/>
          <w:u w:val="single" w:color="auto"/>
          <w:color w:val="000000"/>
        </w:rPr>
        <w:t>Section 13.1</w:t>
      </w:r>
      <w:r>
        <w:rPr>
          <w:rFonts w:ascii="Arial" w:cs="Arial" w:eastAsia="Arial" w:hAnsi="Arial"/>
          <w:sz w:val="17"/>
          <w:szCs w:val="17"/>
          <w:color w:val="000000"/>
        </w:rPr>
        <w:t xml:space="preserve"> and, except as expressly required pursuant to </w:t>
      </w:r>
      <w:r>
        <w:rPr>
          <w:rFonts w:ascii="Arial" w:cs="Arial" w:eastAsia="Arial" w:hAnsi="Arial"/>
          <w:sz w:val="17"/>
          <w:szCs w:val="17"/>
          <w:u w:val="single" w:color="auto"/>
          <w:color w:val="000000"/>
        </w:rPr>
        <w:t>Section 13.1</w:t>
      </w:r>
      <w:r>
        <w:rPr>
          <w:rFonts w:ascii="Arial" w:cs="Arial" w:eastAsia="Arial" w:hAnsi="Arial"/>
          <w:sz w:val="17"/>
          <w:szCs w:val="17"/>
          <w:color w:val="000000"/>
        </w:rPr>
        <w:t>, no consent or approval by any Borrower is required in connection with any such assignment.</w:t>
      </w:r>
    </w:p>
    <w:p>
      <w:pPr>
        <w:spacing w:after="0" w:line="168" w:lineRule="exact"/>
        <w:rPr>
          <w:sz w:val="20"/>
          <w:szCs w:val="20"/>
          <w:color w:val="auto"/>
        </w:rPr>
      </w:pPr>
    </w:p>
    <w:p>
      <w:pPr>
        <w:ind w:left="900" w:hanging="892"/>
        <w:spacing w:after="0"/>
        <w:tabs>
          <w:tab w:leader="none" w:pos="900" w:val="left"/>
        </w:tabs>
        <w:numPr>
          <w:ilvl w:val="0"/>
          <w:numId w:val="170"/>
        </w:numPr>
        <w:rPr>
          <w:rFonts w:ascii="Arial" w:cs="Arial" w:eastAsia="Arial" w:hAnsi="Arial"/>
          <w:sz w:val="18"/>
          <w:szCs w:val="18"/>
          <w:color w:val="010000"/>
        </w:rPr>
      </w:pPr>
      <w:r>
        <w:rPr>
          <w:rFonts w:ascii="Arial" w:cs="Arial" w:eastAsia="Arial" w:hAnsi="Arial"/>
          <w:sz w:val="18"/>
          <w:szCs w:val="18"/>
          <w:b w:val="1"/>
          <w:bCs w:val="1"/>
          <w:color w:val="auto"/>
        </w:rPr>
        <w:t>AMENDMENTS; WAIVERS.</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010000"/>
        </w:rPr>
        <w:t>14.1</w:t>
      </w:r>
      <w:r>
        <w:rPr>
          <w:sz w:val="20"/>
          <w:szCs w:val="20"/>
          <w:color w:val="auto"/>
        </w:rPr>
        <w:tab/>
      </w:r>
      <w:r>
        <w:rPr>
          <w:rFonts w:ascii="Arial" w:cs="Arial" w:eastAsia="Arial" w:hAnsi="Arial"/>
          <w:sz w:val="16"/>
          <w:szCs w:val="16"/>
          <w:b w:val="1"/>
          <w:bCs w:val="1"/>
          <w:u w:val="single" w:color="auto"/>
          <w:color w:val="auto"/>
        </w:rPr>
        <w:t>Amendments and Waivers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55" w:lineRule="auto"/>
        <w:tabs>
          <w:tab w:leader="none" w:pos="2323" w:val="left"/>
        </w:tabs>
        <w:numPr>
          <w:ilvl w:val="0"/>
          <w:numId w:val="171"/>
        </w:numPr>
        <w:rPr>
          <w:rFonts w:ascii="Arial" w:cs="Arial" w:eastAsia="Arial" w:hAnsi="Arial"/>
          <w:sz w:val="18"/>
          <w:szCs w:val="18"/>
          <w:color w:val="010000"/>
        </w:rPr>
      </w:pPr>
      <w:r>
        <w:rPr>
          <w:rFonts w:ascii="Arial" w:cs="Arial" w:eastAsia="Arial" w:hAnsi="Arial"/>
          <w:sz w:val="18"/>
          <w:szCs w:val="18"/>
          <w:color w:val="auto"/>
        </w:rPr>
        <w:t xml:space="preserve">No amendment, waiver or other modification of any provision of this Agreement or any other Loan Document (other than the Fee Letter), and no consent with respect to any departure by Parent or any Borrower therefrom, shall be effective unless the same shall be in writing and signed by the Required Lenders (or by Agent at the written request of the Required Lenders) and the Loan Parties that are party thereto and then any such waiver or consent shall be effective, but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waiver, amendment, or consent shall, unless in writing and signed by all of the Lenders directly affected thereby and all of the Loan Parties that are party thereto, do any of the following: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5" w:name="page236"/>
    <w:bookmarkEnd w:id="235"/>
    <w:p>
      <w:pPr>
        <w:ind w:right="20" w:firstLine="1952"/>
        <w:spacing w:after="0" w:line="277" w:lineRule="auto"/>
        <w:tabs>
          <w:tab w:leader="none" w:pos="312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increase the amount of or extend the expiration date of any Commitment of any Lender or amend, modify, or eliminate the last sentence of </w:t>
      </w:r>
      <w:r>
        <w:rPr>
          <w:rFonts w:ascii="Arial" w:cs="Arial" w:eastAsia="Arial" w:hAnsi="Arial"/>
          <w:sz w:val="18"/>
          <w:szCs w:val="18"/>
          <w:u w:val="single" w:color="auto"/>
          <w:color w:val="auto"/>
        </w:rPr>
        <w:t>Section 2.4(c)(i)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1952"/>
        <w:spacing w:after="0" w:line="277" w:lineRule="auto"/>
        <w:tabs>
          <w:tab w:leader="none" w:pos="3014" w:val="left"/>
        </w:tabs>
        <w:numPr>
          <w:ilvl w:val="1"/>
          <w:numId w:val="172"/>
        </w:numPr>
        <w:rPr>
          <w:rFonts w:ascii="Arial" w:cs="Arial" w:eastAsia="Arial" w:hAnsi="Arial"/>
          <w:sz w:val="18"/>
          <w:szCs w:val="18"/>
          <w:color w:val="auto"/>
        </w:rPr>
      </w:pPr>
      <w:r>
        <w:rPr>
          <w:rFonts w:ascii="Arial" w:cs="Arial" w:eastAsia="Arial" w:hAnsi="Arial"/>
          <w:sz w:val="18"/>
          <w:szCs w:val="18"/>
          <w:color w:val="auto"/>
        </w:rPr>
        <w:t>postpone or delay any date fixed by this Agreement or any other Loan Document for any payment of principal, interest, fees, or other amounts due hereunder or under any other Loan Document,</w:t>
      </w:r>
    </w:p>
    <w:p>
      <w:pPr>
        <w:spacing w:after="0" w:line="170" w:lineRule="exact"/>
        <w:rPr>
          <w:rFonts w:ascii="Arial" w:cs="Arial" w:eastAsia="Arial" w:hAnsi="Arial"/>
          <w:sz w:val="18"/>
          <w:szCs w:val="18"/>
          <w:color w:val="auto"/>
        </w:rPr>
      </w:pPr>
    </w:p>
    <w:p>
      <w:pPr>
        <w:jc w:val="both"/>
        <w:ind w:firstLine="1952"/>
        <w:spacing w:after="0" w:line="301" w:lineRule="auto"/>
        <w:tabs>
          <w:tab w:leader="none" w:pos="283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on, any loan or other extension of credit hereunder, or reduce any fees or other amounts payable hereunder or under any other Loan Document (except (y) in connection with the waiver of applicability of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(which waiver shall be effective with the written consent of the Required Lenders), and (z) that any amendment or modification of defined terms used in the financial covenants in this Agreement shall not constitute a reduction in the rate of interest or a reduction of fees for purposes of this clause (iii)),</w:t>
      </w:r>
    </w:p>
    <w:p>
      <w:pPr>
        <w:spacing w:after="0" w:line="157" w:lineRule="exact"/>
        <w:rPr>
          <w:rFonts w:ascii="Arial" w:cs="Arial" w:eastAsia="Arial" w:hAnsi="Arial"/>
          <w:sz w:val="16"/>
          <w:szCs w:val="16"/>
          <w:color w:val="auto"/>
        </w:rPr>
      </w:pPr>
    </w:p>
    <w:p>
      <w:pPr>
        <w:ind w:left="2940" w:hanging="988"/>
        <w:spacing w:after="0"/>
        <w:tabs>
          <w:tab w:leader="none" w:pos="294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amend, modify, or eliminate this Section or any provision of this Agreement providing for consent or other action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all Lenders,</w:t>
      </w:r>
    </w:p>
    <w:p>
      <w:pPr>
        <w:spacing w:after="0" w:line="210" w:lineRule="exact"/>
        <w:rPr>
          <w:rFonts w:ascii="Arial" w:cs="Arial" w:eastAsia="Arial" w:hAnsi="Arial"/>
          <w:sz w:val="16"/>
          <w:szCs w:val="16"/>
          <w:color w:val="auto"/>
        </w:rPr>
      </w:pPr>
    </w:p>
    <w:p>
      <w:pPr>
        <w:ind w:left="2880" w:hanging="928"/>
        <w:spacing w:after="0"/>
        <w:tabs>
          <w:tab w:leader="none" w:pos="28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amend, modify, or eliminate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840" w:hanging="888"/>
        <w:spacing w:after="0"/>
        <w:tabs>
          <w:tab w:leader="none" w:pos="28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amend, modify, or eliminate </w:t>
      </w:r>
      <w:r>
        <w:rPr>
          <w:rFonts w:ascii="Arial" w:cs="Arial" w:eastAsia="Arial" w:hAnsi="Arial"/>
          <w:sz w:val="18"/>
          <w:szCs w:val="18"/>
          <w:u w:val="single" w:color="auto"/>
          <w:color w:val="auto"/>
        </w:rPr>
        <w:t>Section 15.11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980" w:hanging="1028"/>
        <w:spacing w:after="0"/>
        <w:tabs>
          <w:tab w:leader="none" w:pos="29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other than as permitted by </w:t>
      </w:r>
      <w:r>
        <w:rPr>
          <w:rFonts w:ascii="Arial" w:cs="Arial" w:eastAsia="Arial" w:hAnsi="Arial"/>
          <w:sz w:val="16"/>
          <w:szCs w:val="16"/>
          <w:u w:val="single" w:color="auto"/>
          <w:color w:val="auto"/>
        </w:rPr>
        <w:t>Section 15.11</w:t>
      </w:r>
      <w:r>
        <w:rPr>
          <w:rFonts w:ascii="Arial" w:cs="Arial" w:eastAsia="Arial" w:hAnsi="Arial"/>
          <w:sz w:val="16"/>
          <w:szCs w:val="16"/>
          <w:color w:val="auto"/>
        </w:rPr>
        <w:t>, release or contractually subordinate Agent’s Lien in and to any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Collateral,</w:t>
      </w:r>
    </w:p>
    <w:p>
      <w:pPr>
        <w:spacing w:after="0" w:line="210" w:lineRule="exact"/>
        <w:rPr>
          <w:rFonts w:ascii="Arial" w:cs="Arial" w:eastAsia="Arial" w:hAnsi="Arial"/>
          <w:sz w:val="16"/>
          <w:szCs w:val="16"/>
          <w:color w:val="auto"/>
        </w:rPr>
      </w:pPr>
    </w:p>
    <w:p>
      <w:pPr>
        <w:ind w:left="2860" w:hanging="908"/>
        <w:spacing w:after="0"/>
        <w:tabs>
          <w:tab w:leader="none" w:pos="286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amend, modify, or eliminate the definitions of “Required Lenders”, Supermajority Lenders or “Pro Rata Share”,</w:t>
      </w:r>
    </w:p>
    <w:p>
      <w:pPr>
        <w:spacing w:after="0" w:line="236" w:lineRule="exact"/>
        <w:rPr>
          <w:rFonts w:ascii="Arial" w:cs="Arial" w:eastAsia="Arial" w:hAnsi="Arial"/>
          <w:sz w:val="17"/>
          <w:szCs w:val="17"/>
          <w:color w:val="auto"/>
        </w:rPr>
      </w:pPr>
    </w:p>
    <w:p>
      <w:pPr>
        <w:jc w:val="both"/>
        <w:ind w:firstLine="1952"/>
        <w:spacing w:after="0" w:line="286" w:lineRule="auto"/>
        <w:tabs>
          <w:tab w:leader="none" w:pos="2968" w:val="left"/>
        </w:tabs>
        <w:numPr>
          <w:ilvl w:val="1"/>
          <w:numId w:val="172"/>
        </w:numPr>
        <w:rPr>
          <w:rFonts w:ascii="Arial" w:cs="Arial" w:eastAsia="Arial" w:hAnsi="Arial"/>
          <w:sz w:val="17"/>
          <w:szCs w:val="17"/>
          <w:color w:val="auto"/>
        </w:rPr>
      </w:pPr>
      <w:r>
        <w:rPr>
          <w:rFonts w:ascii="Arial" w:cs="Arial" w:eastAsia="Arial" w:hAnsi="Arial"/>
          <w:sz w:val="17"/>
          <w:szCs w:val="17"/>
          <w:color w:val="auto"/>
        </w:rPr>
        <w:t>other than in connection with a merger, liquidation, dissolution or sale of such Person expressly permitted by the terms hereof or the other Loan Documents, release any Borrower or any Guarantor from any obligation for the payment of money or consent to the assignment or transfer by any Borrower or any Guarantor of any of its rights or duties under this Agreement or the other Loan Documents,</w:t>
      </w:r>
    </w:p>
    <w:p>
      <w:pPr>
        <w:spacing w:after="0" w:line="165" w:lineRule="exact"/>
        <w:rPr>
          <w:rFonts w:ascii="Arial" w:cs="Arial" w:eastAsia="Arial" w:hAnsi="Arial"/>
          <w:sz w:val="17"/>
          <w:szCs w:val="17"/>
          <w:color w:val="auto"/>
        </w:rPr>
      </w:pPr>
    </w:p>
    <w:p>
      <w:pPr>
        <w:ind w:left="2880" w:hanging="928"/>
        <w:spacing w:after="0"/>
        <w:tabs>
          <w:tab w:leader="none" w:pos="28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amend, modify, or eliminate any of the provisions of </w:t>
      </w:r>
      <w:r>
        <w:rPr>
          <w:rFonts w:ascii="Arial" w:cs="Arial" w:eastAsia="Arial" w:hAnsi="Arial"/>
          <w:sz w:val="18"/>
          <w:szCs w:val="18"/>
          <w:u w:val="single" w:color="auto"/>
          <w:color w:val="auto"/>
        </w:rPr>
        <w:t>Section 2.4(b)(i)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2.4(e)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firstLine="1952"/>
        <w:spacing w:after="0" w:line="277" w:lineRule="auto"/>
        <w:tabs>
          <w:tab w:leader="none" w:pos="2914"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amend, modify, or eliminate any of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with respect to assignments to, or participations with, Persons who are Loan Parties, Affiliates of a Loan Party, or Sponsor Affiliated Entities;</w:t>
      </w:r>
    </w:p>
    <w:p>
      <w:pPr>
        <w:spacing w:after="0" w:line="170" w:lineRule="exact"/>
        <w:rPr>
          <w:rFonts w:ascii="Arial" w:cs="Arial" w:eastAsia="Arial" w:hAnsi="Arial"/>
          <w:sz w:val="18"/>
          <w:szCs w:val="18"/>
          <w:color w:val="auto"/>
        </w:rPr>
      </w:pPr>
    </w:p>
    <w:p>
      <w:pPr>
        <w:ind w:left="2240" w:hanging="936"/>
        <w:spacing w:after="0"/>
        <w:tabs>
          <w:tab w:leader="none" w:pos="2240" w:val="left"/>
        </w:tabs>
        <w:numPr>
          <w:ilvl w:val="0"/>
          <w:numId w:val="173"/>
        </w:numPr>
        <w:rPr>
          <w:rFonts w:ascii="Arial" w:cs="Arial" w:eastAsia="Arial" w:hAnsi="Arial"/>
          <w:sz w:val="18"/>
          <w:szCs w:val="18"/>
          <w:color w:val="010000"/>
        </w:rPr>
      </w:pPr>
      <w:r>
        <w:rPr>
          <w:rFonts w:ascii="Arial" w:cs="Arial" w:eastAsia="Arial" w:hAnsi="Arial"/>
          <w:sz w:val="18"/>
          <w:szCs w:val="18"/>
          <w:color w:val="auto"/>
        </w:rPr>
        <w:t>No amendment, waiver, modification, or consent shall amend, modify, waive, or eliminate,</w:t>
      </w:r>
    </w:p>
    <w:p>
      <w:pPr>
        <w:spacing w:after="0" w:line="225" w:lineRule="exact"/>
        <w:rPr>
          <w:rFonts w:ascii="Arial" w:cs="Arial" w:eastAsia="Arial" w:hAnsi="Arial"/>
          <w:sz w:val="18"/>
          <w:szCs w:val="18"/>
          <w:color w:val="010000"/>
        </w:rPr>
      </w:pPr>
    </w:p>
    <w:p>
      <w:pPr>
        <w:ind w:firstLine="1952"/>
        <w:spacing w:after="0" w:line="277" w:lineRule="auto"/>
        <w:tabs>
          <w:tab w:leader="none" w:pos="3081"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definition of, or any of the terms or provisions of, the Fee Letter, without the written consent of Agent and Borrowers (and shall not require the written consent of any of the Lenders),</w:t>
      </w:r>
    </w:p>
    <w:p>
      <w:pPr>
        <w:spacing w:after="0" w:line="170" w:lineRule="exact"/>
        <w:rPr>
          <w:rFonts w:ascii="Arial" w:cs="Arial" w:eastAsia="Arial" w:hAnsi="Arial"/>
          <w:sz w:val="18"/>
          <w:szCs w:val="18"/>
          <w:color w:val="auto"/>
        </w:rPr>
      </w:pPr>
    </w:p>
    <w:p>
      <w:pPr>
        <w:ind w:right="20" w:firstLine="1952"/>
        <w:spacing w:after="0" w:line="277" w:lineRule="auto"/>
        <w:tabs>
          <w:tab w:leader="none" w:pos="289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any provision of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pertaining to Agent, or any other rights or duties of Agent under this Agreement or the other Loan Documents, without the written consent of Agent, Borrowers, and the Required Lenders;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jc w:val="both"/>
        <w:ind w:firstLine="1304"/>
        <w:spacing w:after="0" w:line="275" w:lineRule="auto"/>
        <w:tabs>
          <w:tab w:leader="none" w:pos="2242" w:val="left"/>
        </w:tabs>
        <w:numPr>
          <w:ilvl w:val="0"/>
          <w:numId w:val="174"/>
        </w:numPr>
        <w:rPr>
          <w:rFonts w:ascii="Arial" w:cs="Arial" w:eastAsia="Arial" w:hAnsi="Arial"/>
          <w:sz w:val="17"/>
          <w:szCs w:val="17"/>
          <w:color w:val="010000"/>
        </w:rPr>
      </w:pPr>
      <w:r>
        <w:rPr>
          <w:rFonts w:ascii="Arial" w:cs="Arial" w:eastAsia="Arial" w:hAnsi="Arial"/>
          <w:sz w:val="17"/>
          <w:szCs w:val="17"/>
          <w:color w:val="auto"/>
        </w:rPr>
        <w:t xml:space="preserve">No amendment, waiver, modification, elimination, or consent shall amend, without written consent of Agent, Borrowers and the Supermajority Lenders, modify, or eliminate the definition of Borrowing Base or any of the defined terms (including, without limitation, the definitions of Eligible Accounts, Eligible Whole Aircraft Collateral, Eligible Off-Lease Whole Engine Collateral, Eligible Whole Engine Collateral and Eligible Parts) that are used in such definition to the extent that any such change results in more credit being made available to Borrowers based upon the Borrowing Base, but not otherwise, or the definition of Maximum Revolver Amount, or change </w:t>
      </w:r>
      <w:r>
        <w:rPr>
          <w:rFonts w:ascii="Arial" w:cs="Arial" w:eastAsia="Arial" w:hAnsi="Arial"/>
          <w:sz w:val="17"/>
          <w:szCs w:val="17"/>
          <w:u w:val="single" w:color="auto"/>
          <w:color w:val="auto"/>
        </w:rPr>
        <w:t>Section 2.1(c)</w:t>
      </w:r>
      <w:r>
        <w:rPr>
          <w:rFonts w:ascii="Arial" w:cs="Arial" w:eastAsia="Arial" w:hAnsi="Arial"/>
          <w:sz w:val="17"/>
          <w:szCs w:val="17"/>
          <w:color w:val="auto"/>
        </w:rPr>
        <w:t>;</w:t>
      </w:r>
    </w:p>
    <w:p>
      <w:pPr>
        <w:spacing w:after="0" w:line="176" w:lineRule="exact"/>
        <w:rPr>
          <w:rFonts w:ascii="Arial" w:cs="Arial" w:eastAsia="Arial" w:hAnsi="Arial"/>
          <w:sz w:val="17"/>
          <w:szCs w:val="17"/>
          <w:color w:val="010000"/>
        </w:rPr>
      </w:pPr>
    </w:p>
    <w:p>
      <w:pPr>
        <w:jc w:val="both"/>
        <w:ind w:firstLine="1304"/>
        <w:spacing w:after="0" w:line="263" w:lineRule="auto"/>
        <w:tabs>
          <w:tab w:leader="none" w:pos="2644" w:val="left"/>
        </w:tabs>
        <w:numPr>
          <w:ilvl w:val="0"/>
          <w:numId w:val="174"/>
        </w:numPr>
        <w:rPr>
          <w:rFonts w:ascii="Arial" w:cs="Arial" w:eastAsia="Arial" w:hAnsi="Arial"/>
          <w:sz w:val="18"/>
          <w:szCs w:val="18"/>
          <w:color w:val="010000"/>
        </w:rPr>
      </w:pPr>
      <w:r>
        <w:rPr>
          <w:rFonts w:ascii="Arial" w:cs="Arial" w:eastAsia="Arial" w:hAnsi="Arial"/>
          <w:sz w:val="18"/>
          <w:szCs w:val="18"/>
          <w:color w:val="auto"/>
        </w:rPr>
        <w:t>No amendment, waiver, modification, elimination, or consent shall amend, modify, or waive any provision of this Agreement or the other Loan Documents pertaining to Issuing Bank, or any other rights or duties of Issuing Bank under this Agreement or the other Loan Documents, without the written consent of Issuing Bank, Agent, Borrowers, and the Required Lenders;</w:t>
      </w:r>
    </w:p>
    <w:p>
      <w:pPr>
        <w:spacing w:after="0" w:line="183" w:lineRule="exact"/>
        <w:rPr>
          <w:rFonts w:ascii="Arial" w:cs="Arial" w:eastAsia="Arial" w:hAnsi="Arial"/>
          <w:sz w:val="18"/>
          <w:szCs w:val="18"/>
          <w:color w:val="010000"/>
        </w:rPr>
      </w:pPr>
    </w:p>
    <w:p>
      <w:pPr>
        <w:jc w:val="both"/>
        <w:ind w:firstLine="1304"/>
        <w:spacing w:after="0" w:line="263" w:lineRule="auto"/>
        <w:tabs>
          <w:tab w:leader="none" w:pos="2634" w:val="left"/>
        </w:tabs>
        <w:numPr>
          <w:ilvl w:val="0"/>
          <w:numId w:val="174"/>
        </w:numPr>
        <w:rPr>
          <w:rFonts w:ascii="Arial" w:cs="Arial" w:eastAsia="Arial" w:hAnsi="Arial"/>
          <w:sz w:val="18"/>
          <w:szCs w:val="18"/>
          <w:color w:val="010000"/>
        </w:rPr>
      </w:pPr>
      <w:r>
        <w:rPr>
          <w:rFonts w:ascii="Arial" w:cs="Arial" w:eastAsia="Arial" w:hAnsi="Arial"/>
          <w:sz w:val="18"/>
          <w:szCs w:val="18"/>
          <w:color w:val="auto"/>
        </w:rPr>
        <w:t>No amendment, waiver, modification, elimination, or consent shall amend, modify, or waive any provision of this Agreement or the other Loan Documents pertaining to Swing Lender, or any other rights or duties of Swing Lender under this Agreement or the other Loan Documents, without the written consent of Swing Lender, Agent, Borrowers, and the Required Lenders; and</w:t>
      </w:r>
    </w:p>
    <w:p>
      <w:pPr>
        <w:spacing w:after="0" w:line="183" w:lineRule="exact"/>
        <w:rPr>
          <w:rFonts w:ascii="Arial" w:cs="Arial" w:eastAsia="Arial" w:hAnsi="Arial"/>
          <w:sz w:val="18"/>
          <w:szCs w:val="18"/>
          <w:color w:val="010000"/>
        </w:rPr>
      </w:pPr>
    </w:p>
    <w:p>
      <w:pPr>
        <w:jc w:val="both"/>
        <w:ind w:firstLine="1304"/>
        <w:spacing w:after="0" w:line="255" w:lineRule="auto"/>
        <w:tabs>
          <w:tab w:leader="none" w:pos="2564" w:val="left"/>
        </w:tabs>
        <w:numPr>
          <w:ilvl w:val="0"/>
          <w:numId w:val="174"/>
        </w:numPr>
        <w:rPr>
          <w:rFonts w:ascii="Arial" w:cs="Arial" w:eastAsia="Arial" w:hAnsi="Arial"/>
          <w:sz w:val="18"/>
          <w:szCs w:val="18"/>
          <w:color w:val="010000"/>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to the contrary notwithstanding, (i) any amendment, modification, elimination, waiver, consent, termination, or release of, or with respect to, any provision of this Agreement or any other Loan Document that relates only to the relationship of the Lender Group among themselves, and that does not affect the rights or obligations of any Loan Party, shall not require consent by or the agreement of any Loan Party, and (ii) any amendment, waiver, modification, elimination, or consent of or with respect to any provision of this Agreement or any other Loan Document may be entered into without the consent of, or over the objection of, any Defaulting Lender other than any of the matters governed by </w:t>
      </w:r>
      <w:r>
        <w:rPr>
          <w:rFonts w:ascii="Arial" w:cs="Arial" w:eastAsia="Arial" w:hAnsi="Arial"/>
          <w:sz w:val="18"/>
          <w:szCs w:val="18"/>
          <w:u w:val="single" w:color="auto"/>
          <w:color w:val="auto"/>
        </w:rPr>
        <w:t>Section 14.1(a)(i)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that affect such Lender.</w:t>
      </w:r>
    </w:p>
    <w:p>
      <w:pPr>
        <w:spacing w:after="0" w:line="188"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14.2</w:t>
      </w:r>
      <w:r>
        <w:rPr>
          <w:sz w:val="20"/>
          <w:szCs w:val="20"/>
          <w:color w:val="auto"/>
        </w:rPr>
        <w:tab/>
      </w:r>
      <w:r>
        <w:rPr>
          <w:rFonts w:ascii="Arial" w:cs="Arial" w:eastAsia="Arial" w:hAnsi="Arial"/>
          <w:sz w:val="16"/>
          <w:szCs w:val="16"/>
          <w:b w:val="1"/>
          <w:bCs w:val="1"/>
          <w:u w:val="single" w:color="auto"/>
          <w:color w:val="auto"/>
        </w:rPr>
        <w:t>Replacement of Certain Lenders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90" w:lineRule="auto"/>
        <w:tabs>
          <w:tab w:leader="none" w:pos="2242" w:val="left"/>
        </w:tabs>
        <w:numPr>
          <w:ilvl w:val="0"/>
          <w:numId w:val="175"/>
        </w:numPr>
        <w:rPr>
          <w:rFonts w:ascii="Arial" w:cs="Arial" w:eastAsia="Arial" w:hAnsi="Arial"/>
          <w:sz w:val="16"/>
          <w:szCs w:val="16"/>
          <w:color w:val="010000"/>
        </w:rPr>
      </w:pPr>
      <w:r>
        <w:rPr>
          <w:rFonts w:ascii="Arial" w:cs="Arial" w:eastAsia="Arial" w:hAnsi="Arial"/>
          <w:sz w:val="16"/>
          <w:szCs w:val="16"/>
          <w:color w:val="auto"/>
        </w:rPr>
        <w:t xml:space="preserve">If (i) any action to be taken by the Lender Group or Agent hereunder requires the consent, authorization, or agreement of all Lenders or all Lenders affected thereby and if such action has received the consent, authorization, or agreement of the Required Lenders but not of all Lenders or all Lenders affected thereby, (ii) any Lender is or becomes a Disqualified Institution or (iii) any Lender makes a claim for compensation under </w:t>
      </w:r>
      <w:r>
        <w:rPr>
          <w:rFonts w:ascii="Arial" w:cs="Arial" w:eastAsia="Arial" w:hAnsi="Arial"/>
          <w:sz w:val="16"/>
          <w:szCs w:val="16"/>
          <w:u w:val="single" w:color="auto"/>
          <w:color w:val="auto"/>
        </w:rPr>
        <w:t>Section 16</w:t>
      </w:r>
      <w:r>
        <w:rPr>
          <w:rFonts w:ascii="Arial" w:cs="Arial" w:eastAsia="Arial" w:hAnsi="Arial"/>
          <w:sz w:val="16"/>
          <w:szCs w:val="16"/>
          <w:color w:val="auto"/>
        </w:rPr>
        <w:t>, then Borrowers or Agent, upon at least five Business Days prior irrevocable notice, may permanently replace any Lender that failed to give its consent, authorization, or agreement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any Disqualified Institution or any Lender that made a claim for compensation (a “</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with one or more Replacement Lenders, and the Non-Consenting Lender, Disqualified Institution or Tax Lender, as applicable, shall have no right to refuse to be replaced hereunder. Such notice to replace the Non-Consenting Lender, Disqualified Institution or Tax Lender, as applicable, shall specify an effective date for such replacement, which date shall not be later than 15 Business Days after the date such notice is given.</w:t>
      </w:r>
    </w:p>
    <w:p>
      <w:pPr>
        <w:spacing w:after="0" w:line="165" w:lineRule="exact"/>
        <w:rPr>
          <w:rFonts w:ascii="Arial" w:cs="Arial" w:eastAsia="Arial" w:hAnsi="Arial"/>
          <w:sz w:val="16"/>
          <w:szCs w:val="16"/>
          <w:color w:val="010000"/>
        </w:rPr>
      </w:pPr>
    </w:p>
    <w:p>
      <w:pPr>
        <w:jc w:val="both"/>
        <w:ind w:firstLine="1304"/>
        <w:spacing w:after="0" w:line="268" w:lineRule="auto"/>
        <w:tabs>
          <w:tab w:leader="none" w:pos="2482" w:val="left"/>
        </w:tabs>
        <w:numPr>
          <w:ilvl w:val="0"/>
          <w:numId w:val="175"/>
        </w:numPr>
        <w:rPr>
          <w:rFonts w:ascii="Arial" w:cs="Arial" w:eastAsia="Arial" w:hAnsi="Arial"/>
          <w:sz w:val="17"/>
          <w:szCs w:val="17"/>
          <w:color w:val="010000"/>
        </w:rPr>
      </w:pPr>
      <w:r>
        <w:rPr>
          <w:rFonts w:ascii="Arial" w:cs="Arial" w:eastAsia="Arial" w:hAnsi="Arial"/>
          <w:sz w:val="17"/>
          <w:szCs w:val="17"/>
          <w:color w:val="auto"/>
        </w:rPr>
        <w:t xml:space="preserve">Prior to the effective date of such replacement, the Non-Consenting Lender, Disqualified Institution or Tax Lender, as applicable, and each Replacement Lender shall execute and deliver an Assignment and Acceptance, subject only to the Non-Consenting Lender, Disqualified Institution or Tax Lender, as applicable, being repaid in full its share of the outstanding Obligations (without any premium or penalty of any kind whatsoever, but including (i) all interest, fees and other amounts that may be due in payable in respect thereof, (ii) an assumption of its Pro Rata Share of participations in the Letters of Credit, and (iii) Funding Losses). If the Non-Consenting Lender, Disqualified Institution or Tax Lender, as applicable, shall refuse or fail to execute and deliver any such Assignment and Acceptance prior to the effective date of such replacement, Agent may, but shall not be required to, execute and deliver such Assignment and Acceptance in the name or and on behalf of the Non-Consenting Lender, Disqualified Institution or Tax Lender, as applicable, and irrespective of whether Agent executes and delivers such Assignment and Acceptance, the Non-Consenting Lender, Disqualified Institution or Tax Lender, as applicable, shall be deemed to have executed and delivered such Assignment and Acceptance. The replacement of any Non-Consenting Lender, Disqualified Institution or Tax Lender, as applicable, shall be made in accordance with the terms of </w:t>
      </w:r>
      <w:r>
        <w:rPr>
          <w:rFonts w:ascii="Arial" w:cs="Arial" w:eastAsia="Arial" w:hAnsi="Arial"/>
          <w:sz w:val="17"/>
          <w:szCs w:val="17"/>
          <w:u w:val="single" w:color="auto"/>
          <w:color w:val="auto"/>
        </w:rPr>
        <w:t>Section 13.1</w:t>
      </w:r>
      <w:r>
        <w:rPr>
          <w:rFonts w:ascii="Arial" w:cs="Arial" w:eastAsia="Arial" w:hAnsi="Arial"/>
          <w:sz w:val="17"/>
          <w:szCs w:val="17"/>
          <w:color w:val="auto"/>
        </w:rPr>
        <w:t>. Until such time as one or more Replacement Lenders shall have acquired all of the Obligations, the Commitments, and the other rights and obligations of the Non-Consenting Lender, Disqualified Institution or Tax Lender, as applicable, hereunder and under the other Loan Documents, the Non-Consenting Lender, Disqualified Institution or Tax Lender, as applicable, shall remain obligated to make the Non-Consenting Lender’s, Disqualified Institution’s or Tax Lender’s, as applicable, Pro Rata Share of Revolving Loans and to purchase a participation in each Letter of Credit, in an amount equal to its Pro Rata Share of participations in such Letters of Credit.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7" w:name="page238"/>
    <w:bookmarkEnd w:id="237"/>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010000"/>
        </w:rPr>
        <w:t xml:space="preserve">14.3 </w:t>
      </w:r>
      <w:r>
        <w:rPr>
          <w:rFonts w:ascii="Arial" w:cs="Arial" w:eastAsia="Arial" w:hAnsi="Arial"/>
          <w:sz w:val="18"/>
          <w:szCs w:val="18"/>
          <w:b w:val="1"/>
          <w:bCs w:val="1"/>
          <w:u w:val="single" w:color="auto"/>
          <w:color w:val="000000"/>
        </w:rPr>
        <w:t>No Waivers; Cumulative Remedies</w:t>
      </w:r>
      <w:r>
        <w:rPr>
          <w:rFonts w:ascii="Arial" w:cs="Arial" w:eastAsia="Arial" w:hAnsi="Arial"/>
          <w:sz w:val="18"/>
          <w:szCs w:val="18"/>
          <w:color w:val="000000"/>
        </w:rPr>
        <w:t>. No failure by Agent or any Lender to exercise any right, remedy, or option under this Agreement</w:t>
      </w:r>
      <w:r>
        <w:rPr>
          <w:rFonts w:ascii="Arial" w:cs="Arial" w:eastAsia="Arial" w:hAnsi="Arial"/>
          <w:sz w:val="18"/>
          <w:szCs w:val="18"/>
          <w:color w:val="010000"/>
        </w:rPr>
        <w:t xml:space="preserve"> </w:t>
      </w:r>
      <w:r>
        <w:rPr>
          <w:rFonts w:ascii="Arial" w:cs="Arial" w:eastAsia="Arial" w:hAnsi="Arial"/>
          <w:sz w:val="18"/>
          <w:szCs w:val="18"/>
          <w:color w:val="000000"/>
        </w:rPr>
        <w:t>or any other Loan Document, or delay by Agent or any Lender in exercising the same, will operate as a waiver thereof. No waiver by Agent or any Lender will be effective unless it is in writing, and then only to the extent specifically stated. No waiver by Agent or any Lender on any occasion shall affect or diminish Agent’s and each Lender’s rights thereafter to require strict performance by Parent and Borrowers of any provision of this Agreement. Agent’s and each Lender’s rights under this Agreement and the other Loan Documents will be cumulative and not exclusive of any other right or remedy that Agent or any Lender may have.</w:t>
      </w:r>
    </w:p>
    <w:p>
      <w:pPr>
        <w:spacing w:after="0" w:line="187" w:lineRule="exact"/>
        <w:rPr>
          <w:sz w:val="20"/>
          <w:szCs w:val="20"/>
          <w:color w:val="auto"/>
        </w:rPr>
      </w:pPr>
    </w:p>
    <w:p>
      <w:pPr>
        <w:ind w:left="900" w:hanging="892"/>
        <w:spacing w:after="0"/>
        <w:tabs>
          <w:tab w:leader="none" w:pos="900" w:val="left"/>
        </w:tabs>
        <w:numPr>
          <w:ilvl w:val="0"/>
          <w:numId w:val="176"/>
        </w:numPr>
        <w:rPr>
          <w:rFonts w:ascii="Arial" w:cs="Arial" w:eastAsia="Arial" w:hAnsi="Arial"/>
          <w:sz w:val="18"/>
          <w:szCs w:val="18"/>
          <w:color w:val="010000"/>
        </w:rPr>
      </w:pPr>
      <w:r>
        <w:rPr>
          <w:rFonts w:ascii="Arial" w:cs="Arial" w:eastAsia="Arial" w:hAnsi="Arial"/>
          <w:sz w:val="18"/>
          <w:szCs w:val="18"/>
          <w:b w:val="1"/>
          <w:bCs w:val="1"/>
          <w:color w:val="auto"/>
        </w:rPr>
        <w:t>AGENT; THE LENDER GROUP.</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010000"/>
        </w:rPr>
        <w:t xml:space="preserve">15.1 </w:t>
      </w:r>
      <w:r>
        <w:rPr>
          <w:rFonts w:ascii="Arial" w:cs="Arial" w:eastAsia="Arial" w:hAnsi="Arial"/>
          <w:sz w:val="16"/>
          <w:szCs w:val="16"/>
          <w:b w:val="1"/>
          <w:bCs w:val="1"/>
          <w:u w:val="single" w:color="auto"/>
          <w:color w:val="000000"/>
        </w:rPr>
        <w:t>Appointment and Authorization of Agent</w:t>
      </w:r>
      <w:r>
        <w:rPr>
          <w:rFonts w:ascii="Arial" w:cs="Arial" w:eastAsia="Arial" w:hAnsi="Arial"/>
          <w:sz w:val="16"/>
          <w:szCs w:val="16"/>
          <w:color w:val="000000"/>
        </w:rPr>
        <w:t>. Each Lender hereby designates and appoints Wells Fargo as its agent under this</w:t>
      </w:r>
      <w:r>
        <w:rPr>
          <w:rFonts w:ascii="Arial" w:cs="Arial" w:eastAsia="Arial" w:hAnsi="Arial"/>
          <w:sz w:val="16"/>
          <w:szCs w:val="16"/>
          <w:color w:val="010000"/>
        </w:rPr>
        <w:t xml:space="preserve"> </w:t>
      </w:r>
      <w:r>
        <w:rPr>
          <w:rFonts w:ascii="Arial" w:cs="Arial" w:eastAsia="Arial" w:hAnsi="Arial"/>
          <w:sz w:val="16"/>
          <w:szCs w:val="16"/>
          <w:color w:val="000000"/>
        </w:rPr>
        <w:t xml:space="preserve">Agreement and the other Loan Documents and each Lender hereby irrevocably authorizes (and by entering into a Bank Product Agreement, each Bank Product Provider shall be deemed to designate, appoint, and authorize) Agent to execute and deliver each of the other Loan Documents on its behalf and to take such other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agent for and on behalf of the Lenders (and the Bank Product Providers) on the conditions contained in this </w:t>
      </w:r>
      <w:r>
        <w:rPr>
          <w:rFonts w:ascii="Arial" w:cs="Arial" w:eastAsia="Arial" w:hAnsi="Arial"/>
          <w:sz w:val="16"/>
          <w:szCs w:val="16"/>
          <w:u w:val="single" w:color="auto"/>
          <w:color w:val="000000"/>
        </w:rPr>
        <w:t>Section 15.</w:t>
      </w:r>
      <w:r>
        <w:rPr>
          <w:rFonts w:ascii="Arial" w:cs="Arial" w:eastAsia="Arial" w:hAnsi="Arial"/>
          <w:sz w:val="16"/>
          <w:szCs w:val="16"/>
          <w:color w:val="000000"/>
        </w:rPr>
        <w:t xml:space="preserve"> Any provision to the contrary contained elsewhere in this Agreement or in any other Loan Document notwithstanding, Agent shall not have any duties or responsibilities, except those expressly set forth herein or in the other Loan Documents, nor shall Agent have or be deemed to have any fiduciary relationship with any Lender (or Bank Product Provider),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(and by entering into a Bank Product Agreement, each Bank Product Provider shall be deemed to authorize) Agent to act as the secured party under each of the Loan Documents 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 reflecting the status of the Obligations, the Collateral, payments and proceeds of Collateral, and related matters, (b) execute or file any and all financing or similar statements or notices, amendments, renewals, supplements, documents, instruments, proofs of claim, notices and other written agreements with respect to the Loan Documents, or to take any other action with respect to any Collateral or Loan Documents which may be necessary to perfect, and maintain perfected, the security interests and Liens upon Collateral pursuant to the Loan Documents, (c) make Revolving Loans, for itself or on behalf of Lenders, as provided in the Loan Documents, (d) exclusively receive, apply, and 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enforce any and all other rights and remedies of the Lender Group with respect to any Loan Party or its Subsidiaries, the Obligations, the Collateral, or otherwise related to any of same as provided in the Loan Documents, and (g) incur and pay such Lender Group Expenses as Agent may deem necessary or appropriate for the performance and fulfillment of its functions and powers pursuant to the Loan Documents.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jc w:val="both"/>
        <w:ind w:firstLine="648"/>
        <w:spacing w:after="0" w:line="261" w:lineRule="auto"/>
        <w:rPr>
          <w:sz w:val="20"/>
          <w:szCs w:val="20"/>
          <w:color w:val="auto"/>
        </w:rPr>
      </w:pPr>
      <w:r>
        <w:rPr>
          <w:rFonts w:ascii="Arial" w:cs="Arial" w:eastAsia="Arial" w:hAnsi="Arial"/>
          <w:sz w:val="18"/>
          <w:szCs w:val="18"/>
          <w:color w:val="010000"/>
        </w:rPr>
        <w:t xml:space="preserve">15.2 </w:t>
      </w:r>
      <w:r>
        <w:rPr>
          <w:rFonts w:ascii="Arial" w:cs="Arial" w:eastAsia="Arial" w:hAnsi="Arial"/>
          <w:sz w:val="18"/>
          <w:szCs w:val="18"/>
          <w:b w:val="1"/>
          <w:bCs w:val="1"/>
          <w:u w:val="single" w:color="auto"/>
          <w:color w:val="000000"/>
        </w:rPr>
        <w:t>Delegation of Duties</w:t>
      </w:r>
      <w:r>
        <w:rPr>
          <w:rFonts w:ascii="Arial" w:cs="Arial" w:eastAsia="Arial" w:hAnsi="Arial"/>
          <w:sz w:val="18"/>
          <w:szCs w:val="18"/>
          <w:color w:val="000000"/>
        </w:rPr>
        <w:t>. Agent may execute any of its duties under this Agreement or any other Loan Document by or through agents,</w:t>
      </w:r>
      <w:r>
        <w:rPr>
          <w:rFonts w:ascii="Arial" w:cs="Arial" w:eastAsia="Arial" w:hAnsi="Arial"/>
          <w:sz w:val="18"/>
          <w:szCs w:val="18"/>
          <w:color w:val="010000"/>
        </w:rPr>
        <w:t xml:space="preserve"> </w:t>
      </w:r>
      <w:r>
        <w:rPr>
          <w:rFonts w:ascii="Arial" w:cs="Arial" w:eastAsia="Arial" w:hAnsi="Arial"/>
          <w:sz w:val="18"/>
          <w:szCs w:val="18"/>
          <w:color w:val="000000"/>
        </w:rPr>
        <w:t>employees or attorneys in fact and shall be entitled to advice of counsel concerning all matters pertaining to such duties. Agent shall not be responsible for the negligence or misconduct of any agent or attorney in fact that it selects as long as such selection was made without gross negligence or willful misconduct.</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15.3 </w:t>
      </w:r>
      <w:r>
        <w:rPr>
          <w:rFonts w:ascii="Arial" w:cs="Arial" w:eastAsia="Arial" w:hAnsi="Arial"/>
          <w:sz w:val="17"/>
          <w:szCs w:val="17"/>
          <w:b w:val="1"/>
          <w:bCs w:val="1"/>
          <w:u w:val="single" w:color="auto"/>
          <w:color w:val="000000"/>
        </w:rPr>
        <w:t>Liability of Agent</w:t>
      </w:r>
      <w:r>
        <w:rPr>
          <w:rFonts w:ascii="Arial" w:cs="Arial" w:eastAsia="Arial" w:hAnsi="Arial"/>
          <w:sz w:val="17"/>
          <w:szCs w:val="17"/>
          <w:color w:val="000000"/>
        </w:rPr>
        <w:t>. None of the Agent-Related Persons shall (a) be liable for any action taken or omitted to be taken by any of them</w:t>
      </w:r>
      <w:r>
        <w:rPr>
          <w:rFonts w:ascii="Arial" w:cs="Arial" w:eastAsia="Arial" w:hAnsi="Arial"/>
          <w:sz w:val="17"/>
          <w:szCs w:val="17"/>
          <w:color w:val="010000"/>
        </w:rPr>
        <w:t xml:space="preserve"> </w:t>
      </w:r>
      <w:r>
        <w:rPr>
          <w:rFonts w:ascii="Arial" w:cs="Arial" w:eastAsia="Arial" w:hAnsi="Arial"/>
          <w:sz w:val="17"/>
          <w:szCs w:val="17"/>
          <w:color w:val="000000"/>
        </w:rPr>
        <w:t>under or in connection with this Agreement or any other Loan Document or the transactions contemplated hereby (except for its own gross negligence or willful misconduct), or (b) be responsible in any manner to any of the Lenders (or Bank Product Providers) for any recital, statement, representation or warranty made by any Loan Party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any Loan Party or its Subsidiaries or any other party to any Loan Document to perform its obligations hereunder or thereunder. No Agent-Related Person shall be under any obligation to any Lenders (or Bank Product Providers) to ascertain or to inquire as to the observance or performance of any of the agreements contained in, or conditions of, this Agreement or any other Loan Document, or to inspect the books and records or properties of any Loan Party or its Subsidiaries. No Agent-Related Person shall have any liability to any Lender, and Loan Party or any of their respective Affiliates if any request for a Loan, Letter of Credit or other extension of credit was not authorized by the applicable Borrower. Agent shall not be required to take any action that, in its opinion or in the opinion of its counsel, may expose it to liability or that is contrary to any Loan Document or applicable law or regulation.</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 xml:space="preserve">15.4 </w:t>
      </w:r>
      <w:r>
        <w:rPr>
          <w:rFonts w:ascii="Arial" w:cs="Arial" w:eastAsia="Arial" w:hAnsi="Arial"/>
          <w:sz w:val="18"/>
          <w:szCs w:val="18"/>
          <w:b w:val="1"/>
          <w:bCs w:val="1"/>
          <w:u w:val="single" w:color="auto"/>
          <w:color w:val="000000"/>
        </w:rPr>
        <w:t>Reliance by Agent</w:t>
      </w:r>
      <w:r>
        <w:rPr>
          <w:rFonts w:ascii="Arial" w:cs="Arial" w:eastAsia="Arial" w:hAnsi="Arial"/>
          <w:sz w:val="18"/>
          <w:szCs w:val="18"/>
          <w:color w:val="000000"/>
        </w:rPr>
        <w:t>. Agent shall be entitled to rely, and shall be fully protected in relying, upon any writing, resolution, notice, consent,</w:t>
      </w:r>
      <w:r>
        <w:rPr>
          <w:rFonts w:ascii="Arial" w:cs="Arial" w:eastAsia="Arial" w:hAnsi="Arial"/>
          <w:sz w:val="18"/>
          <w:szCs w:val="18"/>
          <w:color w:val="010000"/>
        </w:rPr>
        <w:t xml:space="preserve"> </w:t>
      </w:r>
      <w:r>
        <w:rPr>
          <w:rFonts w:ascii="Arial" w:cs="Arial" w:eastAsia="Arial" w:hAnsi="Arial"/>
          <w:sz w:val="18"/>
          <w:szCs w:val="18"/>
          <w:color w:val="000000"/>
        </w:rPr>
        <w:t>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Borrowers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(and, if it so elects, the Bank Product Providers)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 (and Bank Product Providers).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jc w:val="both"/>
        <w:ind w:firstLine="648"/>
        <w:spacing w:after="0" w:line="253" w:lineRule="auto"/>
        <w:rPr>
          <w:sz w:val="20"/>
          <w:szCs w:val="20"/>
          <w:color w:val="auto"/>
        </w:rPr>
      </w:pPr>
      <w:r>
        <w:rPr>
          <w:rFonts w:ascii="Arial" w:cs="Arial" w:eastAsia="Arial" w:hAnsi="Arial"/>
          <w:sz w:val="18"/>
          <w:szCs w:val="18"/>
          <w:color w:val="010000"/>
        </w:rPr>
        <w:t xml:space="preserve">15.5 </w:t>
      </w:r>
      <w:r>
        <w:rPr>
          <w:rFonts w:ascii="Arial" w:cs="Arial" w:eastAsia="Arial" w:hAnsi="Arial"/>
          <w:sz w:val="18"/>
          <w:szCs w:val="18"/>
          <w:b w:val="1"/>
          <w:bCs w:val="1"/>
          <w:u w:val="single" w:color="auto"/>
          <w:color w:val="000000"/>
        </w:rPr>
        <w:t>Notice of Default or Event of Default</w:t>
      </w:r>
      <w:r>
        <w:rPr>
          <w:rFonts w:ascii="Arial" w:cs="Arial" w:eastAsia="Arial" w:hAnsi="Arial"/>
          <w:sz w:val="18"/>
          <w:szCs w:val="18"/>
          <w:color w:val="000000"/>
        </w:rPr>
        <w:t>. Agent shall not be deemed to have knowledge or notice of the occurrence of any Default or</w:t>
      </w:r>
      <w:r>
        <w:rPr>
          <w:rFonts w:ascii="Arial" w:cs="Arial" w:eastAsia="Arial" w:hAnsi="Arial"/>
          <w:sz w:val="18"/>
          <w:szCs w:val="18"/>
          <w:color w:val="010000"/>
        </w:rPr>
        <w:t xml:space="preserve"> </w:t>
      </w:r>
      <w:r>
        <w:rPr>
          <w:rFonts w:ascii="Arial" w:cs="Arial" w:eastAsia="Arial" w:hAnsi="Arial"/>
          <w:sz w:val="18"/>
          <w:szCs w:val="18"/>
          <w:color w:val="000000"/>
        </w:rPr>
        <w:t xml:space="preserve">Event of Default, except 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Borrowers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Arial" w:cs="Arial" w:eastAsia="Arial" w:hAnsi="Arial"/>
          <w:sz w:val="18"/>
          <w:szCs w:val="18"/>
          <w:u w:val="single" w:color="auto"/>
          <w:color w:val="000000"/>
        </w:rPr>
        <w:t>Section 15.4</w:t>
      </w:r>
      <w:r>
        <w:rPr>
          <w:rFonts w:ascii="Arial" w:cs="Arial" w:eastAsia="Arial" w:hAnsi="Arial"/>
          <w:sz w:val="18"/>
          <w:szCs w:val="18"/>
          <w:color w:val="000000"/>
        </w:rPr>
        <w:t xml:space="preserve">, Agent shall take such action with respect to such Default or Event of Default as may be requested by the Required Lenders in accordance with </w:t>
      </w:r>
      <w:r>
        <w:rPr>
          <w:rFonts w:ascii="Arial" w:cs="Arial" w:eastAsia="Arial" w:hAnsi="Arial"/>
          <w:sz w:val="18"/>
          <w:szCs w:val="18"/>
          <w:u w:val="single" w:color="auto"/>
          <w:color w:val="000000"/>
        </w:rPr>
        <w:t>Section 9</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that unless and until Agent has received any such request, Agent may (but shall not be obligated to) take such action, or refrain from taking such action, with respect to such Default or Event of Default as it shall deem advisable.</w:t>
      </w:r>
    </w:p>
    <w:p>
      <w:pPr>
        <w:spacing w:after="0" w:line="1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010000"/>
        </w:rPr>
        <w:t xml:space="preserve">15.6 </w:t>
      </w:r>
      <w:r>
        <w:rPr>
          <w:rFonts w:ascii="Arial" w:cs="Arial" w:eastAsia="Arial" w:hAnsi="Arial"/>
          <w:sz w:val="17"/>
          <w:szCs w:val="17"/>
          <w:b w:val="1"/>
          <w:bCs w:val="1"/>
          <w:u w:val="single" w:color="auto"/>
          <w:color w:val="000000"/>
        </w:rPr>
        <w:t>Credit Decision</w:t>
      </w:r>
      <w:r>
        <w:rPr>
          <w:rFonts w:ascii="Arial" w:cs="Arial" w:eastAsia="Arial" w:hAnsi="Arial"/>
          <w:sz w:val="17"/>
          <w:szCs w:val="17"/>
          <w:color w:val="000000"/>
        </w:rPr>
        <w:t>. Each Lender (and Bank Product Provider) acknowledges that none of the Agent-Related Persons has made any</w:t>
      </w:r>
      <w:r>
        <w:rPr>
          <w:rFonts w:ascii="Arial" w:cs="Arial" w:eastAsia="Arial" w:hAnsi="Arial"/>
          <w:sz w:val="17"/>
          <w:szCs w:val="17"/>
          <w:color w:val="010000"/>
        </w:rPr>
        <w:t xml:space="preserve"> </w:t>
      </w:r>
      <w:r>
        <w:rPr>
          <w:rFonts w:ascii="Arial" w:cs="Arial" w:eastAsia="Arial" w:hAnsi="Arial"/>
          <w:sz w:val="17"/>
          <w:szCs w:val="17"/>
          <w:color w:val="000000"/>
        </w:rPr>
        <w:t>representation or warranty to it, and that no act by Agent hereinafter taken, including any review of the affairs of any Loan Party and its Subsidiaries or Affiliates, shall be deemed to constitute any representation or warranty by any Agent-Related Person to any Lender (or Bank Product Provider). Each Lender represents (and by entering into a Bank Product Agreement, each Bank Product Provider shall be deemed to represent) to Agent that it has, independently and without reliance upon any Agent-Related Person and based on such due diligence, documents and information as it has deemed appropriate, made its own appraisal of, and investigation into, the business, prospects, operations, property, financial and other condition and creditworthiness of each Borrower or any other Person party to a Loan Document, and all applicable bank regulatory laws relating to the transactions contemplated hereby, and made its own decision to enter into this Agreement and to extend credit to Borrowers. Each Lender also represents (and by entering into a Bank Product Agreement, each Bank Product Provider shall be deemed to represent)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each Borrower or any other Person party to a Loan Document. Except for notices, reports, and other documents expressly herein required to be furnished to the Lenders by Agent, Agent shall not have any duty or responsibility to provide any Lender (or Bank Product Provider) with any credit or other information concerning the business, prospects, operations, property, financial and other condition or creditworthiness of any Borrower or any other Person party to a Loan Document that may come into the possession of any of the Agent-Related Persons. Each Lender acknowledges (and by entering into a Bank Product Agreement, each Bank Product Provider shall be deemed to acknowledge) that Agent does not have any duty or responsibility, either initially or on a continuing basis (except to the extent, if any, that is expressly specified herein) to provide such Lender (or Bank Product Provider) with any credit or other information with respect to any Borrower, its Affiliates or any of their respective business, legal, financial or other affairs, and irrespective of whether such information came into Agent’s or its Affiliates’ or representatives’ possession before or after the date on which such Lender became a party to this Agreement (or such Bank Product Provider entered into a Bank Product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jc w:val="both"/>
        <w:ind w:firstLine="648"/>
        <w:spacing w:after="0" w:line="285" w:lineRule="auto"/>
        <w:rPr>
          <w:sz w:val="20"/>
          <w:szCs w:val="20"/>
          <w:color w:val="auto"/>
        </w:rPr>
      </w:pPr>
      <w:r>
        <w:rPr>
          <w:rFonts w:ascii="Arial" w:cs="Arial" w:eastAsia="Arial" w:hAnsi="Arial"/>
          <w:sz w:val="16"/>
          <w:szCs w:val="16"/>
          <w:color w:val="010000"/>
        </w:rPr>
        <w:t xml:space="preserve">15.7 </w:t>
      </w:r>
      <w:r>
        <w:rPr>
          <w:rFonts w:ascii="Arial" w:cs="Arial" w:eastAsia="Arial" w:hAnsi="Arial"/>
          <w:sz w:val="16"/>
          <w:szCs w:val="16"/>
          <w:b w:val="1"/>
          <w:bCs w:val="1"/>
          <w:u w:val="single" w:color="auto"/>
          <w:color w:val="000000"/>
        </w:rPr>
        <w:t>Costs and Expenses; Indemnification</w:t>
      </w:r>
      <w:r>
        <w:rPr>
          <w:rFonts w:ascii="Arial" w:cs="Arial" w:eastAsia="Arial" w:hAnsi="Arial"/>
          <w:sz w:val="16"/>
          <w:szCs w:val="16"/>
          <w:color w:val="000000"/>
        </w:rPr>
        <w:t>. Agent may incur and pay Lender Group Expenses to the extent Agent reasonably deems</w:t>
      </w:r>
      <w:r>
        <w:rPr>
          <w:rFonts w:ascii="Arial" w:cs="Arial" w:eastAsia="Arial" w:hAnsi="Arial"/>
          <w:sz w:val="16"/>
          <w:szCs w:val="16"/>
          <w:color w:val="010000"/>
        </w:rPr>
        <w:t xml:space="preserve"> </w:t>
      </w:r>
      <w:r>
        <w:rPr>
          <w:rFonts w:ascii="Arial" w:cs="Arial" w:eastAsia="Arial" w:hAnsi="Arial"/>
          <w:sz w:val="16"/>
          <w:szCs w:val="16"/>
          <w:color w:val="000000"/>
        </w:rPr>
        <w:t xml:space="preserve">necessary or appropriate 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 Borrowers are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(or Bank Product Providers). In the event Agent is not reimbursed for such costs and expenses by the Loan Parties and their Subsidiaries, each Lender hereby agrees that it is and shall be obligated to pay to Agent such Lender’s ratable thereof. Whether or not the transactions contemplated hereby are consummated, each of the Lenders, on a ratable basis, shall indemnify and defend the Agent-Related Persons (to the extent not reimbursed by or on behalf of Borrowers and without limiting the obligation of Borrowers to do so) from and against any and all Indemnified Liabilities; </w:t>
      </w:r>
      <w:r>
        <w:rPr>
          <w:rFonts w:ascii="Arial" w:cs="Arial" w:eastAsia="Arial" w:hAnsi="Arial"/>
          <w:sz w:val="16"/>
          <w:szCs w:val="16"/>
          <w:u w:val="single" w:color="auto"/>
          <w:color w:val="000000"/>
        </w:rPr>
        <w:t>provided</w:t>
      </w:r>
      <w:r>
        <w:rPr>
          <w:rFonts w:ascii="Arial" w:cs="Arial" w:eastAsia="Arial" w:hAnsi="Arial"/>
          <w:sz w:val="16"/>
          <w:szCs w:val="16"/>
          <w:color w:val="000000"/>
        </w:rPr>
        <w:t>,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 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Borrowers. The undertaking in this Section shall survive the payment of all Obligations hereunder and the resignation or replacement of Agent.</w:t>
      </w:r>
    </w:p>
    <w:p>
      <w:pPr>
        <w:spacing w:after="0" w:line="3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15.8 </w:t>
      </w:r>
      <w:r>
        <w:rPr>
          <w:rFonts w:ascii="Arial" w:cs="Arial" w:eastAsia="Arial" w:hAnsi="Arial"/>
          <w:sz w:val="17"/>
          <w:szCs w:val="17"/>
          <w:b w:val="1"/>
          <w:bCs w:val="1"/>
          <w:u w:val="single" w:color="auto"/>
          <w:color w:val="000000"/>
        </w:rPr>
        <w:t>Agent in Individual Capacity</w:t>
      </w:r>
      <w:r>
        <w:rPr>
          <w:rFonts w:ascii="Arial" w:cs="Arial" w:eastAsia="Arial" w:hAnsi="Arial"/>
          <w:sz w:val="17"/>
          <w:szCs w:val="17"/>
          <w:color w:val="000000"/>
        </w:rPr>
        <w:t>. Wells Fargo and its Affiliates may make loans to, issue letters of credit for the account of, accept</w:t>
      </w:r>
      <w:r>
        <w:rPr>
          <w:rFonts w:ascii="Arial" w:cs="Arial" w:eastAsia="Arial" w:hAnsi="Arial"/>
          <w:sz w:val="17"/>
          <w:szCs w:val="17"/>
          <w:color w:val="010000"/>
        </w:rPr>
        <w:t xml:space="preserve"> </w:t>
      </w:r>
      <w:r>
        <w:rPr>
          <w:rFonts w:ascii="Arial" w:cs="Arial" w:eastAsia="Arial" w:hAnsi="Arial"/>
          <w:sz w:val="17"/>
          <w:szCs w:val="17"/>
          <w:color w:val="000000"/>
        </w:rPr>
        <w:t>deposits from, provide Bank Products to, acquire Equity Interests in, and generally engage in any kind of banking, trust, financial advisory, underwriting, or other business with any Loan Party and its Subsidiaries and Affiliates and any other Person party to any Loan Document as though Wells Fargo were not Agent hereunder, and, in each case, without notice to or consent of the other members of the Lender Group. The other members of the Lender Group acknowledge (and by entering into a Bank Product Agreement, each Bank Product Provider shall be deemed to acknowledge) that, pursuant to such activities, Wells Fargo or its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(or Bank Product Providers), and the Lenders acknowledge (and by entering into a Bank Product Agreement, each Bank Product Provider shall be deemed to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Wells Fargo in its individual capacity.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jc w:val="both"/>
        <w:ind w:firstLine="648"/>
        <w:spacing w:after="0" w:line="285" w:lineRule="auto"/>
        <w:rPr>
          <w:sz w:val="20"/>
          <w:szCs w:val="20"/>
          <w:color w:val="auto"/>
        </w:rPr>
      </w:pPr>
      <w:r>
        <w:rPr>
          <w:rFonts w:ascii="Arial" w:cs="Arial" w:eastAsia="Arial" w:hAnsi="Arial"/>
          <w:sz w:val="16"/>
          <w:szCs w:val="16"/>
          <w:color w:val="010000"/>
        </w:rPr>
        <w:t xml:space="preserve">15.9 </w:t>
      </w:r>
      <w:r>
        <w:rPr>
          <w:rFonts w:ascii="Arial" w:cs="Arial" w:eastAsia="Arial" w:hAnsi="Arial"/>
          <w:sz w:val="16"/>
          <w:szCs w:val="16"/>
          <w:b w:val="1"/>
          <w:bCs w:val="1"/>
          <w:u w:val="single" w:color="auto"/>
          <w:color w:val="000000"/>
        </w:rPr>
        <w:t>Successor Agent</w:t>
      </w:r>
      <w:r>
        <w:rPr>
          <w:rFonts w:ascii="Arial" w:cs="Arial" w:eastAsia="Arial" w:hAnsi="Arial"/>
          <w:sz w:val="16"/>
          <w:szCs w:val="16"/>
          <w:color w:val="000000"/>
        </w:rPr>
        <w:t>. Agent may resign as Agent upon 30 days (ten days if an Event of Default has occurred and is continuing) prior</w:t>
      </w:r>
      <w:r>
        <w:rPr>
          <w:rFonts w:ascii="Arial" w:cs="Arial" w:eastAsia="Arial" w:hAnsi="Arial"/>
          <w:sz w:val="16"/>
          <w:szCs w:val="16"/>
          <w:color w:val="010000"/>
        </w:rPr>
        <w:t xml:space="preserve"> </w:t>
      </w:r>
      <w:r>
        <w:rPr>
          <w:rFonts w:ascii="Arial" w:cs="Arial" w:eastAsia="Arial" w:hAnsi="Arial"/>
          <w:sz w:val="16"/>
          <w:szCs w:val="16"/>
          <w:color w:val="000000"/>
        </w:rPr>
        <w:t xml:space="preserve">written notice to the Lenders (unless such notice is waived by the Required Lenders) and Borrowers (unless such notice is waived by Borrowers or a Default or Event of Default has occurred and is continuing) and without any notice to the Bank Product Providers. If Agent resigns under this Agreement, the Required Lenders shall be entitled, with (so long as no Event of Default has occurred and is continuing) the consent of Borrowers (such consent not to be unreasonably withheld, delayed, or conditioned), appoint a successor Agent for the Lenders (and the Bank Product Providers). If, at the time that Agent’s resignation is effective, it is acting as Issuing Bank or the Swing Lender, such resignation shall also operate to effectuate its resignation as Issuing Bank or the Swing Lender, as applicable, and it shall automatically be relieved of any further obligation to issue Letters of Credit, or to make Swing Loans. If no successor Agent is appointed prior to the effective date of the resignation of Agent, Agent may appoint, after consulting with the Lenders and Borrowers, a successor Agent. If Agent has materially breached or failed to perform any material provision of this Agreement or of applicable law, the Required Lenders may agree in writing to remove and replace Agent with a successor Agent from among the Lenders with (so long as no Event of Default has occurred and is continuing) the consent of Borrowers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Arial" w:cs="Arial" w:eastAsia="Arial" w:hAnsi="Arial"/>
          <w:sz w:val="16"/>
          <w:szCs w:val="16"/>
          <w:u w:val="single" w:color="auto"/>
          <w:color w:val="000000"/>
        </w:rPr>
        <w:t>Section 15</w:t>
      </w:r>
      <w:r>
        <w:rPr>
          <w:rFonts w:ascii="Arial" w:cs="Arial" w:eastAsia="Arial" w:hAnsi="Arial"/>
          <w:sz w:val="16"/>
          <w:szCs w:val="16"/>
          <w:color w:val="000000"/>
        </w:rPr>
        <w:t xml:space="preserve">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010000"/>
        </w:rPr>
        <w:t xml:space="preserve">15.10 </w:t>
      </w:r>
      <w:r>
        <w:rPr>
          <w:rFonts w:ascii="Arial" w:cs="Arial" w:eastAsia="Arial" w:hAnsi="Arial"/>
          <w:sz w:val="16"/>
          <w:szCs w:val="16"/>
          <w:b w:val="1"/>
          <w:bCs w:val="1"/>
          <w:u w:val="single" w:color="auto"/>
          <w:color w:val="000000"/>
        </w:rPr>
        <w:t>Lender in Individual Capacity</w:t>
      </w:r>
      <w:r>
        <w:rPr>
          <w:rFonts w:ascii="Arial" w:cs="Arial" w:eastAsia="Arial" w:hAnsi="Arial"/>
          <w:sz w:val="16"/>
          <w:szCs w:val="16"/>
          <w:color w:val="000000"/>
        </w:rPr>
        <w:t>. Any Lender and its respective Affiliates may make loans to, issue letters of credit for the account of,</w:t>
      </w:r>
      <w:r>
        <w:rPr>
          <w:rFonts w:ascii="Arial" w:cs="Arial" w:eastAsia="Arial" w:hAnsi="Arial"/>
          <w:sz w:val="16"/>
          <w:szCs w:val="16"/>
          <w:color w:val="010000"/>
        </w:rPr>
        <w:t xml:space="preserve"> </w:t>
      </w:r>
      <w:r>
        <w:rPr>
          <w:rFonts w:ascii="Arial" w:cs="Arial" w:eastAsia="Arial" w:hAnsi="Arial"/>
          <w:sz w:val="16"/>
          <w:szCs w:val="16"/>
          <w:color w:val="000000"/>
        </w:rPr>
        <w:t>accept deposits from, provide Bank Products to, acquire Equity Interests in and generally engage in any kind of banking, trust, financial advisory, underwriting, or other business with any Loan Party and its Subsidiaries and Affiliates and any other Person party to any Loan Documents as though such Lender were not a Lender hereunder without notice to or consent of the other members of the Lender Group (or the Bank Product Providers). The other members of the Lender Group acknowledge (and by entering into a Bank Product Agreement, each Bank Product Provider shall be deemed to acknowledge) that, pursuant to such activities, such Lender and its respective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(and by entering into a Bank Product Agreement, each Bank Product Provider shall be deemed to acknowledge) that, in such circumstances (and in the absence of a waiver of such confidentiality obligations, which waiver such Lender will use its reasonable best efforts to obtain), such Lender shall not be under any obligation to provide such information to them.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ind w:left="660"/>
        <w:spacing w:after="0"/>
        <w:tabs>
          <w:tab w:leader="none" w:pos="1400" w:val="left"/>
        </w:tabs>
        <w:rPr>
          <w:sz w:val="20"/>
          <w:szCs w:val="20"/>
          <w:color w:val="auto"/>
        </w:rPr>
      </w:pPr>
      <w:r>
        <w:rPr>
          <w:rFonts w:ascii="Arial" w:cs="Arial" w:eastAsia="Arial" w:hAnsi="Arial"/>
          <w:sz w:val="18"/>
          <w:szCs w:val="18"/>
          <w:color w:val="010000"/>
        </w:rPr>
        <w:t>15.11</w:t>
      </w:r>
      <w:r>
        <w:rPr>
          <w:sz w:val="20"/>
          <w:szCs w:val="20"/>
          <w:color w:val="auto"/>
        </w:rPr>
        <w:tab/>
      </w:r>
      <w:r>
        <w:rPr>
          <w:rFonts w:ascii="Arial" w:cs="Arial" w:eastAsia="Arial" w:hAnsi="Arial"/>
          <w:sz w:val="16"/>
          <w:szCs w:val="16"/>
          <w:b w:val="1"/>
          <w:bCs w:val="1"/>
          <w:u w:val="single" w:color="auto"/>
          <w:color w:val="auto"/>
        </w:rPr>
        <w:t>Collateral Matters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83" w:lineRule="auto"/>
        <w:tabs>
          <w:tab w:leader="none" w:pos="2377" w:val="left"/>
        </w:tabs>
        <w:numPr>
          <w:ilvl w:val="0"/>
          <w:numId w:val="177"/>
        </w:numPr>
        <w:rPr>
          <w:rFonts w:ascii="Arial" w:cs="Arial" w:eastAsia="Arial" w:hAnsi="Arial"/>
          <w:sz w:val="16"/>
          <w:szCs w:val="16"/>
          <w:color w:val="010000"/>
        </w:rPr>
      </w:pPr>
      <w:r>
        <w:rPr>
          <w:rFonts w:ascii="Arial" w:cs="Arial" w:eastAsia="Arial" w:hAnsi="Arial"/>
          <w:sz w:val="16"/>
          <w:szCs w:val="16"/>
          <w:color w:val="auto"/>
        </w:rPr>
        <w:t xml:space="preserve">The Lenders hereby irrevocably authorize (and by entering into a Bank Product Agreement, each Bank Product Provider shall be deemed to authorize) Agent to release any Lien on any Collateral (i) upon the termination of the Commitments and payment and satisfaction in full by the Loan Parties and their Subsidiaries of all of the Obligations, (ii) constituting property being sold or disposed of if a release is required or desirable in connection therewith and if Borrowers certify to Agent that the sale or disposition is permitted under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Agent may rely conclusively on any such certificate, without further inquiry), (iii) constituting property in which no Loan Party or any of its Subsidiaries owned any interest at the time Agent’s Lien was granted nor at any time thereafter, (iv) constituting property leased or licensed to a Loan Party or its Subsidiaries under a lease or license that has expired or is terminated in a transaction permitted under this Agreement, (v) in connection with a credit bid or purchase authorized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15.11</w:t>
      </w:r>
      <w:r>
        <w:rPr>
          <w:rFonts w:ascii="Arial" w:cs="Arial" w:eastAsia="Arial" w:hAnsi="Arial"/>
          <w:sz w:val="16"/>
          <w:szCs w:val="16"/>
          <w:color w:val="auto"/>
        </w:rPr>
        <w:t xml:space="preserve">, or (vi) in connection with a change in the jurisdiction of registration of such Collateral in the ordinary course of a Borrower’s business, subject to the contemporaneous or near contemporaneous satisfaction of the Perfection Requirements or Limited Perfection Requirements, as applicable, in the new jurisdiction of registration (which shall not be an Unapproved Foreign Jurisdiction). The Loan Parties and the Lenders hereby irrevocably authorize (and by entering into a Bank Product Agreement, each Bank Product Provider shall be deemed to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(i) the Obligations owed to the Lenders and the Bank Product Providers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and the Bank Product Providers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the any entities that are used to consummate such credit bid or purchase), and (ii) Agent, based upon the instruction of the Required Lenders, may accept non-cash consideration, including debt and equity securities issued by any entities used to consummate such credit bid or purchase and in connection therewith Agent may reduce the Obligations owed to the Lenders and the Bank Product Providers (ratably based upon the proportion of their Obligations credit bid in relation to the aggregate amount of Obligations so credit bid) based upon the value of such non-cash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Bank Product Obligations not entitled to the application set forth in </w:t>
      </w:r>
      <w:r>
        <w:rPr>
          <w:rFonts w:ascii="Arial" w:cs="Arial" w:eastAsia="Arial" w:hAnsi="Arial"/>
          <w:sz w:val="16"/>
          <w:szCs w:val="16"/>
          <w:u w:val="single" w:color="auto"/>
          <w:color w:val="auto"/>
        </w:rPr>
        <w:t>Section 2.4(b)(iii)(J)</w:t>
      </w:r>
      <w:r>
        <w:rPr>
          <w:rFonts w:ascii="Arial" w:cs="Arial" w:eastAsia="Arial" w:hAnsi="Arial"/>
          <w:sz w:val="16"/>
          <w:szCs w:val="16"/>
          <w:color w:val="auto"/>
        </w:rPr>
        <w:t xml:space="preserve"> shall not be entitled to be, and shall not be, credit bid, or used in the calculation of the ratable interest of the Lenders and Bank Product Providers in the Obligations which are credit bid. Except as provided above, Agent will not execute and deliver a release of any Lien on any Collateral without the prior written authorization of (y) if the release is of all or substantially all of the Collateral, all of the Lenders (without requiring the authorization of the Bank Product Providers), or (z) otherwise, the Required Lenders (without requiring the authorization of the Bank Product Providers). Upon request by Agent or Borrowers at any time, the Lenders will (and if so requested, the Bank Product Providers will) confirm in writing Agent’s authority to release any such Liens on particular types or items of Collateral pursuant to this </w:t>
      </w:r>
      <w:r>
        <w:rPr>
          <w:rFonts w:ascii="Arial" w:cs="Arial" w:eastAsia="Arial" w:hAnsi="Arial"/>
          <w:sz w:val="16"/>
          <w:szCs w:val="16"/>
          <w:u w:val="single" w:color="auto"/>
          <w:color w:val="auto"/>
        </w:rPr>
        <w:t>Section 15.11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anything to the contrary contained in any of the Loan Documents notwithstanding, Agent shall not be required to execute any document or take any action necessary to evidence such release on terms that, in Agent’s opinion, could expose Agent to liability or create any obligation or entail any consequence other than the release of such Lien without recourse, representation, or warranty, and (2) such release shall not in any manner discharge, affect, or impair the Obligations or any Liens (other than those expressly released) upon (or obligations of Borrowers in respect of) any and all interests retained by any Borrower, including, the proceeds of any sale, all of which shall continue to constitute part of the Collateral. Each Lender further hereby irrevocably authorize (and by entering into a Bank Product Agreement, each Bank Product Provider shall be deemed to irrevocably authorize) Agent, at its option and in its sole discretion, to subordinate (by contract or otherwise) any Lien granted to or held by Agent on any property under any Loan Document (a) to the holder of any Permitted Lien on such property if such Permitted Lien secures purchase money Indebtedness (including Capitalized Lease Obligations) which constitute Permitted Indebtedness and (b) to the extent Agent has the authority under this </w:t>
      </w:r>
      <w:r>
        <w:rPr>
          <w:rFonts w:ascii="Arial" w:cs="Arial" w:eastAsia="Arial" w:hAnsi="Arial"/>
          <w:sz w:val="16"/>
          <w:szCs w:val="16"/>
          <w:u w:val="single" w:color="auto"/>
          <w:color w:val="auto"/>
        </w:rPr>
        <w:t>Section 15.11</w:t>
      </w:r>
      <w:r>
        <w:rPr>
          <w:rFonts w:ascii="Arial" w:cs="Arial" w:eastAsia="Arial" w:hAnsi="Arial"/>
          <w:sz w:val="16"/>
          <w:szCs w:val="16"/>
          <w:color w:val="auto"/>
        </w:rPr>
        <w:t xml:space="preserve"> to release its Lien on such property.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jc w:val="both"/>
        <w:ind w:firstLine="1304"/>
        <w:spacing w:after="0" w:line="287" w:lineRule="auto"/>
        <w:tabs>
          <w:tab w:leader="none" w:pos="2279" w:val="left"/>
        </w:tabs>
        <w:numPr>
          <w:ilvl w:val="1"/>
          <w:numId w:val="178"/>
        </w:numPr>
        <w:rPr>
          <w:rFonts w:ascii="Arial" w:cs="Arial" w:eastAsia="Arial" w:hAnsi="Arial"/>
          <w:sz w:val="16"/>
          <w:szCs w:val="16"/>
          <w:color w:val="010000"/>
        </w:rPr>
      </w:pPr>
      <w:r>
        <w:rPr>
          <w:rFonts w:ascii="Arial" w:cs="Arial" w:eastAsia="Arial" w:hAnsi="Arial"/>
          <w:sz w:val="16"/>
          <w:szCs w:val="16"/>
          <w:color w:val="auto"/>
        </w:rPr>
        <w:t>Agent shall have no obligation whatsoever to any of the Lenders (or the Bank Product Providers) (i) to verify or assure that the Collateral exists or is owned by a Loan Party or any of its Subsidiaries or is cared for, protected, or insured or has been encumbered, (ii) to verify or assure that Agent’s Liens have been properly or sufficiently or lawfully created, perfected, protected, or enforced or are entitled to any particular priority,</w:t>
      </w:r>
    </w:p>
    <w:p>
      <w:pPr>
        <w:spacing w:after="0" w:line="2" w:lineRule="exact"/>
        <w:rPr>
          <w:rFonts w:ascii="Arial" w:cs="Arial" w:eastAsia="Arial" w:hAnsi="Arial"/>
          <w:sz w:val="16"/>
          <w:szCs w:val="16"/>
          <w:color w:val="010000"/>
        </w:rPr>
      </w:pPr>
    </w:p>
    <w:p>
      <w:pPr>
        <w:jc w:val="both"/>
        <w:ind w:firstLine="8"/>
        <w:spacing w:after="0" w:line="269" w:lineRule="auto"/>
        <w:tabs>
          <w:tab w:leader="none" w:pos="327"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to verify or assure that any particular items of Collateral meet the eligibility criteria applicable in respect thereof, (iv) to impose, maintain, increase, reduce, implement, or eliminate any particular reserve hereunder or to determine whether the amount of any reserve is appropriate or not, or (v)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(or Bank Product Provider) as to any of the foregoing, except as otherwise expressly provided herein.</w:t>
      </w:r>
    </w:p>
    <w:p>
      <w:pPr>
        <w:spacing w:after="0" w:line="17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15.12</w:t>
      </w:r>
      <w:r>
        <w:rPr>
          <w:sz w:val="20"/>
          <w:szCs w:val="20"/>
          <w:color w:val="auto"/>
        </w:rPr>
        <w:tab/>
      </w:r>
      <w:r>
        <w:rPr>
          <w:rFonts w:ascii="Arial" w:cs="Arial" w:eastAsia="Arial" w:hAnsi="Arial"/>
          <w:sz w:val="16"/>
          <w:szCs w:val="16"/>
          <w:b w:val="1"/>
          <w:bCs w:val="1"/>
          <w:u w:val="single" w:color="auto"/>
          <w:color w:val="auto"/>
        </w:rPr>
        <w:t>Restrictions on Actions by Lenders; Sharing of Payments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55" w:lineRule="auto"/>
        <w:tabs>
          <w:tab w:leader="none" w:pos="2269" w:val="left"/>
        </w:tabs>
        <w:numPr>
          <w:ilvl w:val="1"/>
          <w:numId w:val="180"/>
        </w:numPr>
        <w:rPr>
          <w:rFonts w:ascii="Arial" w:cs="Arial" w:eastAsia="Arial" w:hAnsi="Arial"/>
          <w:sz w:val="18"/>
          <w:szCs w:val="18"/>
          <w:color w:val="010000"/>
        </w:rPr>
      </w:pPr>
      <w:r>
        <w:rPr>
          <w:rFonts w:ascii="Arial" w:cs="Arial" w:eastAsia="Arial" w:hAnsi="Arial"/>
          <w:sz w:val="18"/>
          <w:szCs w:val="18"/>
          <w:color w:val="auto"/>
        </w:rPr>
        <w:t>Each of the Lenders agrees that it shall not, without the express written consent of Agent, and that it shall, to the extent it is lawfully entitled to do so, upon the written request of Agent, set off against the Obligations, any amounts owing by such Lender to any Loan Party or its Subsidiaries or any deposit accounts of any Loan Party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spacing w:after="0" w:line="192" w:lineRule="exact"/>
        <w:rPr>
          <w:rFonts w:ascii="Arial" w:cs="Arial" w:eastAsia="Arial" w:hAnsi="Arial"/>
          <w:sz w:val="18"/>
          <w:szCs w:val="18"/>
          <w:color w:val="010000"/>
        </w:rPr>
      </w:pPr>
    </w:p>
    <w:p>
      <w:pPr>
        <w:jc w:val="both"/>
        <w:ind w:firstLine="1304"/>
        <w:spacing w:after="0" w:line="285" w:lineRule="auto"/>
        <w:tabs>
          <w:tab w:leader="none" w:pos="2266" w:val="left"/>
        </w:tabs>
        <w:numPr>
          <w:ilvl w:val="1"/>
          <w:numId w:val="180"/>
        </w:numPr>
        <w:rPr>
          <w:rFonts w:ascii="Arial" w:cs="Arial" w:eastAsia="Arial" w:hAnsi="Arial"/>
          <w:sz w:val="16"/>
          <w:szCs w:val="16"/>
          <w:color w:val="010000"/>
        </w:rPr>
      </w:pPr>
      <w:r>
        <w:rPr>
          <w:rFonts w:ascii="Arial" w:cs="Arial" w:eastAsia="Arial" w:hAnsi="Arial"/>
          <w:sz w:val="16"/>
          <w:szCs w:val="16"/>
          <w:color w:val="auto"/>
        </w:rPr>
        <w:t>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 (ii) 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w:t>
      </w:r>
    </w:p>
    <w:p>
      <w:pPr>
        <w:spacing w:after="0" w:line="1" w:lineRule="exact"/>
        <w:rPr>
          <w:rFonts w:ascii="Arial" w:cs="Arial" w:eastAsia="Arial" w:hAnsi="Arial"/>
          <w:sz w:val="16"/>
          <w:szCs w:val="16"/>
          <w:color w:val="010000"/>
        </w:rPr>
      </w:pPr>
    </w:p>
    <w:p>
      <w:pPr>
        <w:jc w:val="both"/>
        <w:ind w:firstLine="8"/>
        <w:spacing w:after="0" w:line="271" w:lineRule="auto"/>
        <w:tabs>
          <w:tab w:leader="none" w:pos="313"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purchase, without recourse or warranty, an undivided interest and participation in the Obligations owed to the other Lenders so that such excess payment received shall be applied ratably as among the Lenders in accordance with their Pro Rata Shares; </w:t>
      </w:r>
      <w:r>
        <w:rPr>
          <w:rFonts w:ascii="Arial" w:cs="Arial" w:eastAsia="Arial" w:hAnsi="Arial"/>
          <w:sz w:val="17"/>
          <w:szCs w:val="17"/>
          <w:u w:val="single" w:color="auto"/>
          <w:color w:val="auto"/>
        </w:rPr>
        <w:t>provided</w:t>
      </w:r>
      <w:r>
        <w:rPr>
          <w:rFonts w:ascii="Arial" w:cs="Arial" w:eastAsia="Arial" w:hAnsi="Arial"/>
          <w:sz w:val="17"/>
          <w:szCs w:val="17"/>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010000"/>
        </w:rPr>
        <w:t xml:space="preserve">15.13 </w:t>
      </w:r>
      <w:r>
        <w:rPr>
          <w:rFonts w:ascii="Arial" w:cs="Arial" w:eastAsia="Arial" w:hAnsi="Arial"/>
          <w:sz w:val="17"/>
          <w:szCs w:val="17"/>
          <w:b w:val="1"/>
          <w:bCs w:val="1"/>
          <w:u w:val="single" w:color="auto"/>
          <w:color w:val="000000"/>
        </w:rPr>
        <w:t>Agency for Perfection</w:t>
      </w:r>
      <w:r>
        <w:rPr>
          <w:rFonts w:ascii="Arial" w:cs="Arial" w:eastAsia="Arial" w:hAnsi="Arial"/>
          <w:sz w:val="17"/>
          <w:szCs w:val="17"/>
          <w:color w:val="000000"/>
        </w:rPr>
        <w:t>. Agent hereby appoints each other Lender (and each Bank Product Provider) as its agent (and each Lender</w:t>
      </w:r>
      <w:r>
        <w:rPr>
          <w:rFonts w:ascii="Arial" w:cs="Arial" w:eastAsia="Arial" w:hAnsi="Arial"/>
          <w:sz w:val="17"/>
          <w:szCs w:val="17"/>
          <w:color w:val="010000"/>
        </w:rPr>
        <w:t xml:space="preserve"> </w:t>
      </w:r>
      <w:r>
        <w:rPr>
          <w:rFonts w:ascii="Arial" w:cs="Arial" w:eastAsia="Arial" w:hAnsi="Arial"/>
          <w:sz w:val="17"/>
          <w:szCs w:val="17"/>
          <w:color w:val="000000"/>
        </w:rPr>
        <w:t>hereby accepts (and by entering into a Bank Product Agreement, each Bank Product Provider shall be deemed to accept) such appointment) for the purpose of perfecting Agent’s Liens in assets which, in accordance with Article 8 or Article 9, as applicable, of the Code can be perfected by possession or control. Should any Lender obtain possession or control of any such Collateral, such Lender shall notify Agent thereof, and, promptly upon Agent’s request therefor shall deliver possession or control of such Collateral to Agent or in accordance with Agent’s instructions.</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010000"/>
        </w:rPr>
        <w:t xml:space="preserve">15.14 </w:t>
      </w:r>
      <w:r>
        <w:rPr>
          <w:rFonts w:ascii="Arial" w:cs="Arial" w:eastAsia="Arial" w:hAnsi="Arial"/>
          <w:sz w:val="18"/>
          <w:szCs w:val="18"/>
          <w:b w:val="1"/>
          <w:bCs w:val="1"/>
          <w:u w:val="single" w:color="auto"/>
          <w:color w:val="000000"/>
        </w:rPr>
        <w:t>Payments by Agent to the Lenders</w:t>
      </w:r>
      <w:r>
        <w:rPr>
          <w:rFonts w:ascii="Arial" w:cs="Arial" w:eastAsia="Arial" w:hAnsi="Arial"/>
          <w:sz w:val="18"/>
          <w:szCs w:val="18"/>
          <w:color w:val="000000"/>
        </w:rPr>
        <w:t>. All payments to be made by Agent to the Lenders (or Bank Product Providers) shall be made by</w:t>
      </w:r>
      <w:r>
        <w:rPr>
          <w:rFonts w:ascii="Arial" w:cs="Arial" w:eastAsia="Arial" w:hAnsi="Arial"/>
          <w:sz w:val="18"/>
          <w:szCs w:val="18"/>
          <w:color w:val="010000"/>
        </w:rPr>
        <w:t xml:space="preserve"> </w:t>
      </w:r>
      <w:r>
        <w:rPr>
          <w:rFonts w:ascii="Arial" w:cs="Arial" w:eastAsia="Arial" w:hAnsi="Arial"/>
          <w:sz w:val="18"/>
          <w:szCs w:val="18"/>
          <w:color w:val="000000"/>
        </w:rPr>
        <w:t>bank wire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jc w:val="both"/>
        <w:ind w:firstLine="648"/>
        <w:spacing w:after="0" w:line="258" w:lineRule="auto"/>
        <w:rPr>
          <w:sz w:val="20"/>
          <w:szCs w:val="20"/>
          <w:color w:val="auto"/>
        </w:rPr>
      </w:pPr>
      <w:r>
        <w:rPr>
          <w:rFonts w:ascii="Arial" w:cs="Arial" w:eastAsia="Arial" w:hAnsi="Arial"/>
          <w:sz w:val="18"/>
          <w:szCs w:val="18"/>
          <w:color w:val="010000"/>
        </w:rPr>
        <w:t xml:space="preserve">15.15 </w:t>
      </w:r>
      <w:r>
        <w:rPr>
          <w:rFonts w:ascii="Arial" w:cs="Arial" w:eastAsia="Arial" w:hAnsi="Arial"/>
          <w:sz w:val="18"/>
          <w:szCs w:val="18"/>
          <w:b w:val="1"/>
          <w:bCs w:val="1"/>
          <w:u w:val="single" w:color="auto"/>
          <w:color w:val="000000"/>
        </w:rPr>
        <w:t>Concerning the Collateral and Related Loan Documents</w:t>
      </w:r>
      <w:r>
        <w:rPr>
          <w:rFonts w:ascii="Arial" w:cs="Arial" w:eastAsia="Arial" w:hAnsi="Arial"/>
          <w:sz w:val="18"/>
          <w:szCs w:val="18"/>
          <w:color w:val="000000"/>
        </w:rPr>
        <w:t>. Each member of the Lender Group authorizes and directs Agent to enter</w:t>
      </w:r>
      <w:r>
        <w:rPr>
          <w:rFonts w:ascii="Arial" w:cs="Arial" w:eastAsia="Arial" w:hAnsi="Arial"/>
          <w:sz w:val="18"/>
          <w:szCs w:val="18"/>
          <w:color w:val="010000"/>
        </w:rPr>
        <w:t xml:space="preserve"> </w:t>
      </w:r>
      <w:r>
        <w:rPr>
          <w:rFonts w:ascii="Arial" w:cs="Arial" w:eastAsia="Arial" w:hAnsi="Arial"/>
          <w:sz w:val="18"/>
          <w:szCs w:val="18"/>
          <w:color w:val="000000"/>
        </w:rPr>
        <w:t>into this Agreement and the other Loan Documents. Each member of the Lender Group agrees (and by entering into a Bank Product Agreement, each Bank Product Provider shall be deemed to agree)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all of the Lenders (and such Bank Product Provider).</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15.16 </w:t>
      </w:r>
      <w:r>
        <w:rPr>
          <w:rFonts w:ascii="Arial" w:cs="Arial" w:eastAsia="Arial" w:hAnsi="Arial"/>
          <w:sz w:val="18"/>
          <w:szCs w:val="18"/>
          <w:b w:val="1"/>
          <w:bCs w:val="1"/>
          <w:u w:val="single" w:color="auto"/>
          <w:color w:val="000000"/>
        </w:rPr>
        <w:t>Field Examination Reports; Confidentiality; Disclaimers by Lenders; Other Reports and Information</w:t>
      </w:r>
      <w:r>
        <w:rPr>
          <w:rFonts w:ascii="Arial" w:cs="Arial" w:eastAsia="Arial" w:hAnsi="Arial"/>
          <w:sz w:val="18"/>
          <w:szCs w:val="18"/>
          <w:color w:val="000000"/>
        </w:rPr>
        <w:t>. By becoming a party to</w:t>
      </w:r>
      <w:r>
        <w:rPr>
          <w:rFonts w:ascii="Arial" w:cs="Arial" w:eastAsia="Arial" w:hAnsi="Arial"/>
          <w:sz w:val="18"/>
          <w:szCs w:val="18"/>
          <w:color w:val="010000"/>
        </w:rPr>
        <w:t xml:space="preserve"> </w:t>
      </w:r>
      <w:r>
        <w:rPr>
          <w:rFonts w:ascii="Arial" w:cs="Arial" w:eastAsia="Arial" w:hAnsi="Arial"/>
          <w:sz w:val="18"/>
          <w:szCs w:val="18"/>
          <w:color w:val="000000"/>
        </w:rPr>
        <w:t>this Agreement, each Lender:</w:t>
      </w:r>
    </w:p>
    <w:p>
      <w:pPr>
        <w:spacing w:after="0" w:line="166" w:lineRule="exact"/>
        <w:rPr>
          <w:sz w:val="20"/>
          <w:szCs w:val="20"/>
          <w:color w:val="auto"/>
        </w:rPr>
      </w:pPr>
    </w:p>
    <w:p>
      <w:pPr>
        <w:jc w:val="both"/>
        <w:ind w:firstLine="1304"/>
        <w:spacing w:after="0" w:line="263" w:lineRule="auto"/>
        <w:tabs>
          <w:tab w:leader="none" w:pos="2472" w:val="left"/>
        </w:tabs>
        <w:numPr>
          <w:ilvl w:val="0"/>
          <w:numId w:val="182"/>
        </w:numPr>
        <w:rPr>
          <w:rFonts w:ascii="Arial" w:cs="Arial" w:eastAsia="Arial" w:hAnsi="Arial"/>
          <w:sz w:val="18"/>
          <w:szCs w:val="18"/>
          <w:color w:val="010000"/>
        </w:rPr>
      </w:pPr>
      <w:r>
        <w:rPr>
          <w:rFonts w:ascii="Arial" w:cs="Arial" w:eastAsia="Arial" w:hAnsi="Arial"/>
          <w:sz w:val="18"/>
          <w:szCs w:val="18"/>
          <w:color w:val="auto"/>
        </w:rPr>
        <w:t>is deemed to have requested that Agent furnish such Lender, promptly after it becomes available, a copy of each field examination report respecting any Loan Party or its Subsidiaries (each, a “</w:t>
      </w:r>
      <w:r>
        <w:rPr>
          <w:rFonts w:ascii="Arial" w:cs="Arial" w:eastAsia="Arial" w:hAnsi="Arial"/>
          <w:sz w:val="18"/>
          <w:szCs w:val="18"/>
          <w:u w:val="single" w:color="auto"/>
          <w:color w:val="auto"/>
        </w:rPr>
        <w:t>Report</w:t>
      </w:r>
      <w:r>
        <w:rPr>
          <w:rFonts w:ascii="Arial" w:cs="Arial" w:eastAsia="Arial" w:hAnsi="Arial"/>
          <w:sz w:val="18"/>
          <w:szCs w:val="18"/>
          <w:color w:val="auto"/>
        </w:rPr>
        <w:t>”) prepared by or at the request of Agent, and Agent shall so furnish each Lender with such Reports,</w:t>
      </w:r>
    </w:p>
    <w:p>
      <w:pPr>
        <w:spacing w:after="0" w:line="183" w:lineRule="exact"/>
        <w:rPr>
          <w:rFonts w:ascii="Arial" w:cs="Arial" w:eastAsia="Arial" w:hAnsi="Arial"/>
          <w:sz w:val="18"/>
          <w:szCs w:val="18"/>
          <w:color w:val="010000"/>
        </w:rPr>
      </w:pPr>
    </w:p>
    <w:p>
      <w:pPr>
        <w:ind w:right="20" w:firstLine="1304"/>
        <w:spacing w:after="0" w:line="277" w:lineRule="auto"/>
        <w:tabs>
          <w:tab w:leader="none" w:pos="2315" w:val="left"/>
        </w:tabs>
        <w:numPr>
          <w:ilvl w:val="0"/>
          <w:numId w:val="182"/>
        </w:numPr>
        <w:rPr>
          <w:rFonts w:ascii="Arial" w:cs="Arial" w:eastAsia="Arial" w:hAnsi="Arial"/>
          <w:sz w:val="18"/>
          <w:szCs w:val="18"/>
          <w:color w:val="010000"/>
        </w:rPr>
      </w:pPr>
      <w:r>
        <w:rPr>
          <w:rFonts w:ascii="Arial" w:cs="Arial" w:eastAsia="Arial" w:hAnsi="Arial"/>
          <w:sz w:val="18"/>
          <w:szCs w:val="18"/>
          <w:color w:val="auto"/>
        </w:rPr>
        <w:t>expressly agrees and acknowledges that Agent does not (i) make any representation or warranty as to the accuracy of any Report, and (ii) shall not be liable for any information contained in any Report,</w:t>
      </w:r>
    </w:p>
    <w:p>
      <w:pPr>
        <w:spacing w:after="0" w:line="170" w:lineRule="exact"/>
        <w:rPr>
          <w:rFonts w:ascii="Arial" w:cs="Arial" w:eastAsia="Arial" w:hAnsi="Arial"/>
          <w:sz w:val="18"/>
          <w:szCs w:val="18"/>
          <w:color w:val="010000"/>
        </w:rPr>
      </w:pPr>
    </w:p>
    <w:p>
      <w:pPr>
        <w:jc w:val="both"/>
        <w:ind w:firstLine="1304"/>
        <w:spacing w:after="0" w:line="263" w:lineRule="auto"/>
        <w:tabs>
          <w:tab w:leader="none" w:pos="2211" w:val="left"/>
        </w:tabs>
        <w:numPr>
          <w:ilvl w:val="0"/>
          <w:numId w:val="182"/>
        </w:numPr>
        <w:rPr>
          <w:rFonts w:ascii="Arial" w:cs="Arial" w:eastAsia="Arial" w:hAnsi="Arial"/>
          <w:sz w:val="18"/>
          <w:szCs w:val="18"/>
          <w:color w:val="010000"/>
        </w:rPr>
      </w:pPr>
      <w:r>
        <w:rPr>
          <w:rFonts w:ascii="Arial" w:cs="Arial" w:eastAsia="Arial" w:hAnsi="Arial"/>
          <w:sz w:val="18"/>
          <w:szCs w:val="18"/>
          <w:color w:val="auto"/>
        </w:rPr>
        <w:t>expressly agrees and acknowledges that the Reports are not comprehensive audits or examinations, that Agent or other party performing any field examination will inspect only specific information regarding the Loan Parties and their Subsidiaries and will rely significantly upon Parent’s and its Subsidiaries’ books and records, as well as on representations of Borrowers’ personnel,</w:t>
      </w:r>
    </w:p>
    <w:p>
      <w:pPr>
        <w:spacing w:after="0" w:line="183" w:lineRule="exact"/>
        <w:rPr>
          <w:rFonts w:ascii="Arial" w:cs="Arial" w:eastAsia="Arial" w:hAnsi="Arial"/>
          <w:sz w:val="18"/>
          <w:szCs w:val="18"/>
          <w:color w:val="010000"/>
        </w:rPr>
      </w:pPr>
    </w:p>
    <w:p>
      <w:pPr>
        <w:ind w:firstLine="1304"/>
        <w:spacing w:after="0" w:line="308" w:lineRule="auto"/>
        <w:tabs>
          <w:tab w:leader="none" w:pos="2275" w:val="left"/>
        </w:tabs>
        <w:numPr>
          <w:ilvl w:val="0"/>
          <w:numId w:val="182"/>
        </w:numPr>
        <w:rPr>
          <w:rFonts w:ascii="Arial" w:cs="Arial" w:eastAsia="Arial" w:hAnsi="Arial"/>
          <w:sz w:val="17"/>
          <w:szCs w:val="17"/>
          <w:color w:val="010000"/>
        </w:rPr>
      </w:pPr>
      <w:r>
        <w:rPr>
          <w:rFonts w:ascii="Arial" w:cs="Arial" w:eastAsia="Arial" w:hAnsi="Arial"/>
          <w:sz w:val="17"/>
          <w:szCs w:val="17"/>
          <w:color w:val="auto"/>
        </w:rPr>
        <w:t xml:space="preserve">agrees to keep all Reports and other material, non-public information regarding the Loan Parties and their Subsidiaries and their operations, assets, and existing and contemplated business plans in a confidential manner in accordance with </w:t>
      </w:r>
      <w:r>
        <w:rPr>
          <w:rFonts w:ascii="Arial" w:cs="Arial" w:eastAsia="Arial" w:hAnsi="Arial"/>
          <w:sz w:val="17"/>
          <w:szCs w:val="17"/>
          <w:u w:val="single" w:color="auto"/>
          <w:color w:val="auto"/>
        </w:rPr>
        <w:t>Section 17.9</w:t>
      </w:r>
      <w:r>
        <w:rPr>
          <w:rFonts w:ascii="Arial" w:cs="Arial" w:eastAsia="Arial" w:hAnsi="Arial"/>
          <w:sz w:val="17"/>
          <w:szCs w:val="17"/>
          <w:color w:val="auto"/>
        </w:rPr>
        <w:t>, and</w:t>
      </w:r>
    </w:p>
    <w:p>
      <w:pPr>
        <w:spacing w:after="0" w:line="146" w:lineRule="exact"/>
        <w:rPr>
          <w:rFonts w:ascii="Arial" w:cs="Arial" w:eastAsia="Arial" w:hAnsi="Arial"/>
          <w:sz w:val="17"/>
          <w:szCs w:val="17"/>
          <w:color w:val="010000"/>
        </w:rPr>
      </w:pPr>
    </w:p>
    <w:p>
      <w:pPr>
        <w:jc w:val="both"/>
        <w:ind w:firstLine="1304"/>
        <w:spacing w:after="0" w:line="291" w:lineRule="auto"/>
        <w:tabs>
          <w:tab w:leader="none" w:pos="2242" w:val="left"/>
        </w:tabs>
        <w:numPr>
          <w:ilvl w:val="0"/>
          <w:numId w:val="182"/>
        </w:numPr>
        <w:rPr>
          <w:rFonts w:ascii="Arial" w:cs="Arial" w:eastAsia="Arial" w:hAnsi="Arial"/>
          <w:sz w:val="16"/>
          <w:szCs w:val="16"/>
          <w:color w:val="010000"/>
        </w:rPr>
      </w:pPr>
      <w:r>
        <w:rPr>
          <w:rFonts w:ascii="Arial" w:cs="Arial" w:eastAsia="Arial" w:hAnsi="Arial"/>
          <w:sz w:val="16"/>
          <w:szCs w:val="16"/>
          <w:color w:val="auto"/>
        </w:rPr>
        <w:t>without limiting the generality of any other indemnification provision contained in this Agreement, agrees: (i) to hold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Borrowers, or the indemnifying Lender’s participation in, or the indemnifying Lender’s purchase of, a loan or loans of Borrowers, and (ii) to pay and protect, and indemnify, defend and hold Agent, and any such other Lender preparing a Report harmless from and against, the claims, actions, proceedings, damages, costs, expenses, and other amounts (including, attorneys’ fees and costs) incurred by Agent and any such other Lender preparing a Report as the direct or indirect result of any third parties who might obtain all or part of any Report through the indemnifying Lender.</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the foregoing, (x) any Lender may from time to time request of Agent in writing that Agent provide to such Lender a copy of any report or document provided by any Loan Party or its Subsidiaries to Agent that has not been contemporaneously provided by such Loan Party or such Subsidiary to such Lender, and, upon receipt of such request, Agent promptly shall provide a copy of same to such Lender, (y) to the extent that Agent is entitled, under any provision of the Loan Documents, to request additional reports or information from any Loan Party or its Subsidiaries, any Lender may, from time to time, reasonably request Agent to exercise such right as specified in such Lender’s notice to Agent, whereupon Agent promptly shall request of Borrowers the additional reports or information reasonably specified by such Lender, and, upon receipt thereof from such Loan Party or such Subsidiary, Agent promptly shall provide a copy of same to such Lender, and (z) any time that Agent renders to Borrowers a statement regarding the Loan Account, Agent shall send a copy of such statement to each Lender.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5" w:name="page246"/>
    <w:bookmarkEnd w:id="245"/>
    <w:p>
      <w:pPr>
        <w:jc w:val="both"/>
        <w:ind w:firstLine="648"/>
        <w:spacing w:after="0" w:line="288" w:lineRule="auto"/>
        <w:rPr>
          <w:sz w:val="20"/>
          <w:szCs w:val="20"/>
          <w:color w:val="auto"/>
        </w:rPr>
      </w:pPr>
      <w:r>
        <w:rPr>
          <w:rFonts w:ascii="Arial" w:cs="Arial" w:eastAsia="Arial" w:hAnsi="Arial"/>
          <w:sz w:val="16"/>
          <w:szCs w:val="16"/>
          <w:color w:val="010000"/>
        </w:rPr>
        <w:t xml:space="preserve">15.17 </w:t>
      </w:r>
      <w:r>
        <w:rPr>
          <w:rFonts w:ascii="Arial" w:cs="Arial" w:eastAsia="Arial" w:hAnsi="Arial"/>
          <w:sz w:val="16"/>
          <w:szCs w:val="16"/>
          <w:b w:val="1"/>
          <w:bCs w:val="1"/>
          <w:u w:val="single" w:color="auto"/>
          <w:color w:val="000000"/>
        </w:rPr>
        <w:t>Several Obligations; No Liability</w:t>
      </w:r>
      <w:r>
        <w:rPr>
          <w:rFonts w:ascii="Arial" w:cs="Arial" w:eastAsia="Arial" w:hAnsi="Arial"/>
          <w:sz w:val="16"/>
          <w:szCs w:val="16"/>
          <w:color w:val="000000"/>
        </w:rPr>
        <w:t>. Notwithstanding that certain of the Loan Documents now or hereafter may have been or will be</w:t>
      </w:r>
      <w:r>
        <w:rPr>
          <w:rFonts w:ascii="Arial" w:cs="Arial" w:eastAsia="Arial" w:hAnsi="Arial"/>
          <w:sz w:val="16"/>
          <w:szCs w:val="16"/>
          <w:color w:val="010000"/>
        </w:rPr>
        <w:t xml:space="preserve"> </w:t>
      </w:r>
      <w:r>
        <w:rPr>
          <w:rFonts w:ascii="Arial" w:cs="Arial" w:eastAsia="Arial" w:hAnsi="Arial"/>
          <w:sz w:val="16"/>
          <w:szCs w:val="16"/>
          <w:color w:val="000000"/>
        </w:rPr>
        <w:t xml:space="preserve">executed only by or in favor of Agent in its capacity as such, and not by or in favor of the Lenders, any and all obligations on the part of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Except as provided in </w:t>
      </w:r>
      <w:r>
        <w:rPr>
          <w:rFonts w:ascii="Arial" w:cs="Arial" w:eastAsia="Arial" w:hAnsi="Arial"/>
          <w:sz w:val="16"/>
          <w:szCs w:val="16"/>
          <w:u w:val="single" w:color="auto"/>
          <w:color w:val="000000"/>
        </w:rPr>
        <w:t>Section 15.7</w:t>
      </w:r>
      <w:r>
        <w:rPr>
          <w:rFonts w:ascii="Arial" w:cs="Arial" w:eastAsia="Arial" w:hAnsi="Arial"/>
          <w:sz w:val="16"/>
          <w:szCs w:val="16"/>
          <w:color w:val="000000"/>
        </w:rPr>
        <w:t>, no member of the Lender Group shall have any liability for the acts of any other member of the Lender Group. No Lender shall be responsible to any Borrower or any other Person for any failure by any other Lender (or Bank Product Provider) to fulfill its obligations to make credit available hereunder, nor to advance for such Lender (or Bank Product Provider) or on its behalf, nor to take any other action on behalf of such Lender (or Bank Product Provider) hereunder or in connection with the financing contemplated herein.</w:t>
      </w:r>
    </w:p>
    <w:p>
      <w:pPr>
        <w:spacing w:after="0" w:line="16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010000"/>
        </w:rPr>
        <w:t xml:space="preserve">15.18 </w:t>
      </w:r>
      <w:r>
        <w:rPr>
          <w:rFonts w:ascii="Arial" w:cs="Arial" w:eastAsia="Arial" w:hAnsi="Arial"/>
          <w:sz w:val="16"/>
          <w:szCs w:val="16"/>
          <w:b w:val="1"/>
          <w:bCs w:val="1"/>
          <w:u w:val="single" w:color="auto"/>
          <w:color w:val="000000"/>
        </w:rPr>
        <w:t>Lead Arranger and Book Runner Agents</w:t>
      </w:r>
      <w:r>
        <w:rPr>
          <w:rFonts w:ascii="Arial" w:cs="Arial" w:eastAsia="Arial" w:hAnsi="Arial"/>
          <w:sz w:val="16"/>
          <w:szCs w:val="16"/>
          <w:color w:val="000000"/>
        </w:rPr>
        <w:t>. Each of the Lead Arranger and Book Runner, in such capacities, shall not have any right,</w:t>
      </w:r>
      <w:r>
        <w:rPr>
          <w:rFonts w:ascii="Arial" w:cs="Arial" w:eastAsia="Arial" w:hAnsi="Arial"/>
          <w:sz w:val="16"/>
          <w:szCs w:val="16"/>
          <w:color w:val="010000"/>
        </w:rPr>
        <w:t xml:space="preserve"> </w:t>
      </w:r>
      <w:r>
        <w:rPr>
          <w:rFonts w:ascii="Arial" w:cs="Arial" w:eastAsia="Arial" w:hAnsi="Arial"/>
          <w:sz w:val="16"/>
          <w:szCs w:val="16"/>
          <w:color w:val="000000"/>
        </w:rPr>
        <w:t>power, obligation, liability, responsibility, or duty under this Agreement other than those applicable to it in its capacity as a Lender, as Agent, as Swing Lender, or as Issuing Bank. Without limiting the foregoing, each of the Lead Arranger and Book Runner, in such capacities, shall not have or be deemed to have any fiduciary relationship with any Lender or any Loan Party. Each Lender, Agent, Swing Lender, Issuing Bank, and each Loan Party acknowledges that it has not relied, and will not rely, on the Lead Arranger or Book Runner in deciding to enter into this Agreement or in taking or not taking action hereunder. Each of the Lead Arranger and Book Runner, in such capacities, shall be entitled to resign at any time by giving notice to Agent and Borrowers.</w:t>
      </w:r>
    </w:p>
    <w:p>
      <w:pPr>
        <w:spacing w:after="0" w:line="160" w:lineRule="exact"/>
        <w:rPr>
          <w:sz w:val="20"/>
          <w:szCs w:val="20"/>
          <w:color w:val="auto"/>
        </w:rPr>
      </w:pPr>
    </w:p>
    <w:p>
      <w:pPr>
        <w:ind w:left="900" w:hanging="892"/>
        <w:spacing w:after="0"/>
        <w:tabs>
          <w:tab w:leader="none" w:pos="900" w:val="left"/>
        </w:tabs>
        <w:numPr>
          <w:ilvl w:val="0"/>
          <w:numId w:val="183"/>
        </w:numPr>
        <w:rPr>
          <w:rFonts w:ascii="Arial" w:cs="Arial" w:eastAsia="Arial" w:hAnsi="Arial"/>
          <w:sz w:val="18"/>
          <w:szCs w:val="18"/>
          <w:color w:val="010000"/>
        </w:rPr>
      </w:pPr>
      <w:r>
        <w:rPr>
          <w:rFonts w:ascii="Arial" w:cs="Arial" w:eastAsia="Arial" w:hAnsi="Arial"/>
          <w:sz w:val="18"/>
          <w:szCs w:val="18"/>
          <w:b w:val="1"/>
          <w:bCs w:val="1"/>
          <w:color w:val="auto"/>
        </w:rPr>
        <w:t>WITHHOLDING TAXES.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010000"/>
        </w:rPr>
        <w:t xml:space="preserve">16.1 </w:t>
      </w:r>
      <w:r>
        <w:rPr>
          <w:rFonts w:ascii="Arial" w:cs="Arial" w:eastAsia="Arial" w:hAnsi="Arial"/>
          <w:sz w:val="17"/>
          <w:szCs w:val="17"/>
          <w:b w:val="1"/>
          <w:bCs w:val="1"/>
          <w:u w:val="single" w:color="auto"/>
          <w:color w:val="000000"/>
        </w:rPr>
        <w:t>Payments</w:t>
      </w:r>
      <w:r>
        <w:rPr>
          <w:rFonts w:ascii="Arial" w:cs="Arial" w:eastAsia="Arial" w:hAnsi="Arial"/>
          <w:sz w:val="17"/>
          <w:szCs w:val="17"/>
          <w:color w:val="000000"/>
        </w:rPr>
        <w:t>. All payments made by any Loan Party under any Loan Document will be made free and clear of, and without deduction or</w:t>
      </w:r>
      <w:r>
        <w:rPr>
          <w:rFonts w:ascii="Arial" w:cs="Arial" w:eastAsia="Arial" w:hAnsi="Arial"/>
          <w:sz w:val="17"/>
          <w:szCs w:val="17"/>
          <w:color w:val="010000"/>
        </w:rPr>
        <w:t xml:space="preserve"> </w:t>
      </w:r>
      <w:r>
        <w:rPr>
          <w:rFonts w:ascii="Arial" w:cs="Arial" w:eastAsia="Arial" w:hAnsi="Arial"/>
          <w:sz w:val="17"/>
          <w:szCs w:val="17"/>
          <w:color w:val="000000"/>
        </w:rPr>
        <w:t xml:space="preserve">withholding for, any Taxes, except as otherwise required by applicable law, and in the event any deduction or withholding of Taxes is required, the applicable Loan Party shall make the requisite withholding, promptly pay over to the applicable Governmental Authority the withheld tax, and furnish to Agent as promptly as possible after the date the payment of any such Tax is due pursuant to applicable law, a certified copy of a tax receipt evidencing such payment by the Loan Parties or other evidence of such payment reasonably satisfactory to Agent. Furthermore, if any such Tax is an Indemnified Taxes or an Indemnified Tax is so levied or imposed, the Loan Parties agree to pay the full amount of such Indemnified Taxes and such additional amounts as may be necessary so that every payment of all amounts due under this Agreement, any note, or Loan Document, including any amount paid pursuant to this </w:t>
      </w:r>
      <w:r>
        <w:rPr>
          <w:rFonts w:ascii="Arial" w:cs="Arial" w:eastAsia="Arial" w:hAnsi="Arial"/>
          <w:sz w:val="17"/>
          <w:szCs w:val="17"/>
          <w:u w:val="single" w:color="auto"/>
          <w:color w:val="000000"/>
        </w:rPr>
        <w:t>Section 16.1</w:t>
      </w:r>
      <w:r>
        <w:rPr>
          <w:rFonts w:ascii="Arial" w:cs="Arial" w:eastAsia="Arial" w:hAnsi="Arial"/>
          <w:sz w:val="17"/>
          <w:szCs w:val="17"/>
          <w:color w:val="000000"/>
        </w:rPr>
        <w:t xml:space="preserve"> after withholding or deduction for or on account of any Indemnified Taxes, will not be less than the amount provided for herein. The Loan Parties will promptly pay any Other Taxes or reimburse Agent for such Other Taxes upon Agent’s demand. The Loan Parties shall jointly and severally indemnify each Indemnified Person (as defined in </w:t>
      </w:r>
      <w:r>
        <w:rPr>
          <w:rFonts w:ascii="Arial" w:cs="Arial" w:eastAsia="Arial" w:hAnsi="Arial"/>
          <w:sz w:val="17"/>
          <w:szCs w:val="17"/>
          <w:u w:val="single" w:color="auto"/>
          <w:color w:val="000000"/>
        </w:rPr>
        <w:t>Section 10.3</w:t>
      </w:r>
      <w:r>
        <w:rPr>
          <w:rFonts w:ascii="Arial" w:cs="Arial" w:eastAsia="Arial" w:hAnsi="Arial"/>
          <w:sz w:val="17"/>
          <w:szCs w:val="17"/>
          <w:color w:val="000000"/>
        </w:rPr>
        <w:t>) (collectively a “</w:t>
      </w:r>
      <w:r>
        <w:rPr>
          <w:rFonts w:ascii="Arial" w:cs="Arial" w:eastAsia="Arial" w:hAnsi="Arial"/>
          <w:sz w:val="17"/>
          <w:szCs w:val="17"/>
          <w:u w:val="single" w:color="auto"/>
          <w:color w:val="000000"/>
        </w:rPr>
        <w:t>Tax Indemnitee</w:t>
      </w:r>
      <w:r>
        <w:rPr>
          <w:rFonts w:ascii="Arial" w:cs="Arial" w:eastAsia="Arial" w:hAnsi="Arial"/>
          <w:sz w:val="17"/>
          <w:szCs w:val="17"/>
          <w:color w:val="000000"/>
        </w:rPr>
        <w:t xml:space="preserve">”) for the full amount of Indemnified Taxes arising in connection with this Agreement or any other Loan Document or breach thereof by any Loan Party (including, without limitation, any Indemnified Taxes imposed or asserted on, or attributable to, amounts payable under this </w:t>
      </w:r>
      <w:r>
        <w:rPr>
          <w:rFonts w:ascii="Arial" w:cs="Arial" w:eastAsia="Arial" w:hAnsi="Arial"/>
          <w:sz w:val="17"/>
          <w:szCs w:val="17"/>
          <w:u w:val="single" w:color="auto"/>
          <w:color w:val="000000"/>
        </w:rPr>
        <w:t>Section 16</w:t>
      </w:r>
      <w:r>
        <w:rPr>
          <w:rFonts w:ascii="Arial" w:cs="Arial" w:eastAsia="Arial" w:hAnsi="Arial"/>
          <w:sz w:val="17"/>
          <w:szCs w:val="17"/>
          <w:color w:val="000000"/>
        </w:rPr>
        <w:t xml:space="preserve">) imposed on, or paid by, such Tax Indemnitee and all reasonable costs and expenses related thereto (including fees and disbursements of attorneys and other tax professionals), as and when they are incurred and irrespective of whether suit is brought, whether or not such Indemnified Taxes were correctly or legally imposed or asserted by the relevant Governmental Authority (other than Indemnified Taxes and additional amounts that a court of competent jurisdiction finally determines to have resulted from the gross negligence or willful misconduct of such Tax Indemnitee). The obligations of the Loan Parties under this </w:t>
      </w:r>
      <w:r>
        <w:rPr>
          <w:rFonts w:ascii="Arial" w:cs="Arial" w:eastAsia="Arial" w:hAnsi="Arial"/>
          <w:sz w:val="17"/>
          <w:szCs w:val="17"/>
          <w:u w:val="single" w:color="auto"/>
          <w:color w:val="000000"/>
        </w:rPr>
        <w:t>Section 16</w:t>
      </w:r>
      <w:r>
        <w:rPr>
          <w:rFonts w:ascii="Arial" w:cs="Arial" w:eastAsia="Arial" w:hAnsi="Arial"/>
          <w:sz w:val="17"/>
          <w:szCs w:val="17"/>
          <w:color w:val="000000"/>
        </w:rPr>
        <w:t xml:space="preserve"> shall survive the termination of this Agreement, the resignation and replacement of Agent, and the repayment of the Obligations.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6" w:name="page247"/>
    <w:bookmarkEnd w:id="246"/>
    <w:p>
      <w:pPr>
        <w:ind w:left="660"/>
        <w:spacing w:after="0"/>
        <w:tabs>
          <w:tab w:leader="none" w:pos="1440" w:val="left"/>
        </w:tabs>
        <w:rPr>
          <w:sz w:val="20"/>
          <w:szCs w:val="20"/>
          <w:color w:val="auto"/>
        </w:rPr>
      </w:pPr>
      <w:r>
        <w:rPr>
          <w:rFonts w:ascii="Arial" w:cs="Arial" w:eastAsia="Arial" w:hAnsi="Arial"/>
          <w:sz w:val="18"/>
          <w:szCs w:val="18"/>
          <w:color w:val="010000"/>
        </w:rPr>
        <w:t>16.2</w:t>
      </w:r>
      <w:r>
        <w:rPr>
          <w:sz w:val="20"/>
          <w:szCs w:val="20"/>
          <w:color w:val="auto"/>
        </w:rPr>
        <w:tab/>
      </w:r>
      <w:r>
        <w:rPr>
          <w:rFonts w:ascii="Arial" w:cs="Arial" w:eastAsia="Arial" w:hAnsi="Arial"/>
          <w:sz w:val="16"/>
          <w:szCs w:val="16"/>
          <w:b w:val="1"/>
          <w:bCs w:val="1"/>
          <w:u w:val="single" w:color="auto"/>
          <w:color w:val="auto"/>
        </w:rPr>
        <w:t>Exemptions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86" w:lineRule="auto"/>
        <w:tabs>
          <w:tab w:leader="none" w:pos="2269" w:val="left"/>
        </w:tabs>
        <w:numPr>
          <w:ilvl w:val="0"/>
          <w:numId w:val="184"/>
        </w:numPr>
        <w:rPr>
          <w:rFonts w:ascii="Arial" w:cs="Arial" w:eastAsia="Arial" w:hAnsi="Arial"/>
          <w:sz w:val="17"/>
          <w:szCs w:val="17"/>
          <w:color w:val="010000"/>
        </w:rPr>
      </w:pPr>
      <w:r>
        <w:rPr>
          <w:rFonts w:ascii="Arial" w:cs="Arial" w:eastAsia="Arial" w:hAnsi="Arial"/>
          <w:sz w:val="17"/>
          <w:szCs w:val="17"/>
          <w:color w:val="auto"/>
        </w:rPr>
        <w:t>If a Lender or Participant is entitled to claim an exemption or reduction from United States withholding tax, such Lender or Participant agrees with and in favor of Agent, to deliver to Agent (or, in the case of a Participant, to the Lender granting the participation only) and the Administrative Borrower on behalf of all Borrowers one of the following before receiving its first payment under this Agreement:</w:t>
      </w:r>
    </w:p>
    <w:p>
      <w:pPr>
        <w:spacing w:after="0" w:line="165" w:lineRule="exact"/>
        <w:rPr>
          <w:rFonts w:ascii="Arial" w:cs="Arial" w:eastAsia="Arial" w:hAnsi="Arial"/>
          <w:sz w:val="17"/>
          <w:szCs w:val="17"/>
          <w:color w:val="010000"/>
        </w:rPr>
      </w:pPr>
    </w:p>
    <w:p>
      <w:pPr>
        <w:jc w:val="both"/>
        <w:ind w:firstLine="1952"/>
        <w:spacing w:after="0" w:line="255" w:lineRule="auto"/>
        <w:tabs>
          <w:tab w:leader="none" w:pos="2973"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if such Lender or Participant is entitled to claim an exemption from United States withholding tax pursuant to the portfolio interest exception, (A) a certificate substantially in the form of </w:t>
      </w:r>
      <w:r>
        <w:rPr>
          <w:rFonts w:ascii="Arial" w:cs="Arial" w:eastAsia="Arial" w:hAnsi="Arial"/>
          <w:sz w:val="18"/>
          <w:szCs w:val="18"/>
          <w:u w:val="single" w:color="auto"/>
          <w:color w:val="auto"/>
        </w:rPr>
        <w:t>Exhibit U-1</w:t>
      </w:r>
      <w:r>
        <w:rPr>
          <w:rFonts w:ascii="Arial" w:cs="Arial" w:eastAsia="Arial" w:hAnsi="Arial"/>
          <w:sz w:val="18"/>
          <w:szCs w:val="18"/>
          <w:color w:val="auto"/>
        </w:rPr>
        <w:t xml:space="preserve"> to the effect that such Lender or Participant is not a (I) a “bank” as described in Section 881(c)(3)(A) of the IRC, (II) a 10% shareholder of Administrative Borrower (within the meaning of Section 871(h)(3)(B) of the IRC), or (III) a controlled foreign corporation related to Borrowers within the meaning of Section 864(d)(4) of the IRC, and (B) a properly completed and executed IRS Form W-8BEN, Form W-8BEN-E or Form W-8IMY or any successor forms (with proper attachments as applicable), and any other required supporting information;</w:t>
      </w:r>
    </w:p>
    <w:p>
      <w:pPr>
        <w:spacing w:after="0" w:line="192" w:lineRule="exact"/>
        <w:rPr>
          <w:rFonts w:ascii="Arial" w:cs="Arial" w:eastAsia="Arial" w:hAnsi="Arial"/>
          <w:sz w:val="18"/>
          <w:szCs w:val="18"/>
          <w:color w:val="auto"/>
        </w:rPr>
      </w:pPr>
    </w:p>
    <w:p>
      <w:pPr>
        <w:ind w:firstLine="1952"/>
        <w:spacing w:after="0" w:line="277" w:lineRule="auto"/>
        <w:tabs>
          <w:tab w:leader="none" w:pos="302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if such Lender or Participant is entitled to claim an exemption from, or a reduction of, withholding tax under a United States tax treaty, a properly completed and executed copy of IRS Form W-8BEN or Form W-8BEN-E, as applicable;</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799"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302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if such Lender or Participant is entitled to claim that interest paid under this Agreement is exempt from United States withholding tax because such Lender or Participant serves as an intermediary, a properly completed and executed copy of IRS Form W-8IMY (including a withholding statement and copies of the tax certification documentation for its beneficial owner(s) of the income paid to the intermediary, if required based on its status provided on the Form W-8IMY); or</w:t>
      </w:r>
    </w:p>
    <w:p>
      <w:pPr>
        <w:spacing w:after="0" w:line="186" w:lineRule="exact"/>
        <w:rPr>
          <w:rFonts w:ascii="Arial" w:cs="Arial" w:eastAsia="Arial" w:hAnsi="Arial"/>
          <w:sz w:val="18"/>
          <w:szCs w:val="18"/>
          <w:color w:val="auto"/>
        </w:rPr>
      </w:pPr>
    </w:p>
    <w:p>
      <w:pPr>
        <w:ind w:firstLine="1952"/>
        <w:spacing w:after="0" w:line="342" w:lineRule="auto"/>
        <w:tabs>
          <w:tab w:leader="none" w:pos="2927"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 properly completed and executed copy of any other form or forms, including IRS Form W-9, as may be required under the IRC or other laws of the United States as a condition to exemption from, or reduction of, United States withholding or backup withholding tax.</w:t>
      </w:r>
    </w:p>
    <w:p>
      <w:pPr>
        <w:spacing w:after="0" w:line="123" w:lineRule="exact"/>
        <w:rPr>
          <w:rFonts w:ascii="Arial" w:cs="Arial" w:eastAsia="Arial" w:hAnsi="Arial"/>
          <w:sz w:val="16"/>
          <w:szCs w:val="16"/>
          <w:color w:val="auto"/>
        </w:rPr>
      </w:pPr>
    </w:p>
    <w:p>
      <w:pPr>
        <w:jc w:val="both"/>
        <w:ind w:firstLine="1304"/>
        <w:spacing w:after="0" w:line="263" w:lineRule="auto"/>
        <w:tabs>
          <w:tab w:leader="none" w:pos="2522"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Each Lender or Participant shall provide new forms (or successor forms) upon the expiration or obsolescence of any previously delivered forms and to promptly notify Agent and Administrative Borrower (or, in the case of a Participant, the Lender granting the participation only) of any change in circumstances which would modify or render invalid any claimed exemption or reduction.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7" w:name="page248"/>
    <w:bookmarkEnd w:id="247"/>
    <w:p>
      <w:pPr>
        <w:jc w:val="both"/>
        <w:ind w:firstLine="1304"/>
        <w:spacing w:after="0" w:line="288" w:lineRule="auto"/>
        <w:tabs>
          <w:tab w:leader="none" w:pos="2418" w:val="left"/>
        </w:tabs>
        <w:numPr>
          <w:ilvl w:val="0"/>
          <w:numId w:val="185"/>
        </w:numPr>
        <w:rPr>
          <w:rFonts w:ascii="Arial" w:cs="Arial" w:eastAsia="Arial" w:hAnsi="Arial"/>
          <w:sz w:val="16"/>
          <w:szCs w:val="16"/>
          <w:color w:val="010000"/>
        </w:rPr>
      </w:pPr>
      <w:r>
        <w:rPr>
          <w:rFonts w:ascii="Arial" w:cs="Arial" w:eastAsia="Arial" w:hAnsi="Arial"/>
          <w:sz w:val="16"/>
          <w:szCs w:val="16"/>
          <w:color w:val="auto"/>
        </w:rPr>
        <w:t xml:space="preserve">If a Lender or Participant claims an exemption from withholding tax in a jurisdiction other than the United States, such Lender or such Participant agrees with and in favor of Agent and Borrowers, to deliver to Agent and Administrative Borrower (or, in the case of a Participant, to the Lender granting the participation only) any such form or forms, as may be required under the laws of such jurisdiction as a condition to exemption from, or reduction of, foreign withholding or backup withholding tax before receiving its first payment under this Agreement, but only if such Lender or such Participant is legally able to deliver such forms, or the providing of or delivery of such forms in the Lender’s reasonable judgment would not subject such Lender to any material unreimbursed cost or expense or materially prejudice the legal or commercial position of such Lender (or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16.2(c)</w:t>
      </w:r>
      <w:r>
        <w:rPr>
          <w:rFonts w:ascii="Arial" w:cs="Arial" w:eastAsia="Arial" w:hAnsi="Arial"/>
          <w:sz w:val="16"/>
          <w:szCs w:val="16"/>
          <w:color w:val="auto"/>
        </w:rPr>
        <w:t xml:space="preserve"> shall require a Lender or Participant to disclose any information that it deems to be confidential (including without limitation, its tax returns). Each Lender and each Participant shall provide new forms (or successor forms) upon the expiration or obsolescence of any previously delivered forms and to promptly notify Agent and Administrative Borrower (or, in the case of a Participant, the Lender granting the participation only) of any change in circumstances which would modify or render invalid any claimed exemption or reduction.</w:t>
      </w:r>
    </w:p>
    <w:p>
      <w:pPr>
        <w:spacing w:after="0" w:line="168" w:lineRule="exact"/>
        <w:rPr>
          <w:rFonts w:ascii="Arial" w:cs="Arial" w:eastAsia="Arial" w:hAnsi="Arial"/>
          <w:sz w:val="16"/>
          <w:szCs w:val="16"/>
          <w:color w:val="010000"/>
        </w:rPr>
      </w:pPr>
    </w:p>
    <w:p>
      <w:pPr>
        <w:jc w:val="both"/>
        <w:ind w:firstLine="1304"/>
        <w:spacing w:after="0" w:line="284" w:lineRule="auto"/>
        <w:tabs>
          <w:tab w:leader="none" w:pos="2414" w:val="left"/>
        </w:tabs>
        <w:numPr>
          <w:ilvl w:val="0"/>
          <w:numId w:val="185"/>
        </w:numPr>
        <w:rPr>
          <w:rFonts w:ascii="Arial" w:cs="Arial" w:eastAsia="Arial" w:hAnsi="Arial"/>
          <w:sz w:val="16"/>
          <w:szCs w:val="16"/>
          <w:color w:val="010000"/>
        </w:rPr>
      </w:pPr>
      <w:r>
        <w:rPr>
          <w:rFonts w:ascii="Arial" w:cs="Arial" w:eastAsia="Arial" w:hAnsi="Arial"/>
          <w:sz w:val="16"/>
          <w:szCs w:val="16"/>
          <w:color w:val="auto"/>
        </w:rPr>
        <w:t xml:space="preserve">If a Lender or Participant claims exemption from, or reduction of, withholding tax and such Lender or Participant sells, assigns, grants a participation in, or otherwise transfers all or part of the Obligations of Borrowers to such Lender or Participant, such Lender or Participant agrees to notify Agent and Administrative Borrower (or, in the case of a sale of a participation interest, the Lender granting the participation only) of the percentage amount in which it is no longer the beneficial owner of Obligations of Borrowers to such Lender or Participant. To the extent of such percentage amount, Agent and Administrative Borrower will treat such Lender’s or such Participant’s documentation provided pursuant to </w:t>
      </w:r>
      <w:r>
        <w:rPr>
          <w:rFonts w:ascii="Arial" w:cs="Arial" w:eastAsia="Arial" w:hAnsi="Arial"/>
          <w:sz w:val="16"/>
          <w:szCs w:val="16"/>
          <w:u w:val="single" w:color="auto"/>
          <w:color w:val="auto"/>
        </w:rPr>
        <w:t>Section 16.2(a)</w:t>
      </w:r>
      <w:r>
        <w:rPr>
          <w:rFonts w:ascii="Arial" w:cs="Arial" w:eastAsia="Arial" w:hAnsi="Arial"/>
          <w:sz w:val="16"/>
          <w:szCs w:val="16"/>
          <w:color w:val="auto"/>
        </w:rPr>
        <w:t xml:space="preserve">, </w:t>
      </w:r>
      <w:r>
        <w:rPr>
          <w:rFonts w:ascii="Arial" w:cs="Arial" w:eastAsia="Arial" w:hAnsi="Arial"/>
          <w:sz w:val="16"/>
          <w:szCs w:val="16"/>
          <w:u w:val="single" w:color="auto"/>
          <w:color w:val="auto"/>
        </w:rPr>
        <w:t>16.2(c)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16.2(e)</w:t>
      </w:r>
      <w:r>
        <w:rPr>
          <w:rFonts w:ascii="Arial" w:cs="Arial" w:eastAsia="Arial" w:hAnsi="Arial"/>
          <w:sz w:val="16"/>
          <w:szCs w:val="16"/>
          <w:color w:val="auto"/>
        </w:rPr>
        <w:t xml:space="preserve"> as no longer valid. With respect to such percentage amount, such Participant or Assignee may provide new documentation, pursuant to </w:t>
      </w:r>
      <w:r>
        <w:rPr>
          <w:rFonts w:ascii="Arial" w:cs="Arial" w:eastAsia="Arial" w:hAnsi="Arial"/>
          <w:sz w:val="16"/>
          <w:szCs w:val="16"/>
          <w:u w:val="single" w:color="auto"/>
          <w:color w:val="auto"/>
        </w:rPr>
        <w:t>Section</w:t>
      </w:r>
    </w:p>
    <w:p>
      <w:pPr>
        <w:spacing w:after="0" w:line="4" w:lineRule="exact"/>
        <w:rPr>
          <w:rFonts w:ascii="Arial" w:cs="Arial" w:eastAsia="Arial" w:hAnsi="Arial"/>
          <w:sz w:val="16"/>
          <w:szCs w:val="16"/>
          <w:color w:val="010000"/>
        </w:rPr>
      </w:pPr>
    </w:p>
    <w:p>
      <w:pPr>
        <w:jc w:val="both"/>
        <w:spacing w:after="0" w:line="255" w:lineRule="auto"/>
        <w:rPr>
          <w:rFonts w:ascii="Arial" w:cs="Arial" w:eastAsia="Arial" w:hAnsi="Arial"/>
          <w:sz w:val="16"/>
          <w:szCs w:val="16"/>
          <w:color w:val="010000"/>
        </w:rPr>
      </w:pPr>
      <w:r>
        <w:rPr>
          <w:rFonts w:ascii="Arial" w:cs="Arial" w:eastAsia="Arial" w:hAnsi="Arial"/>
          <w:sz w:val="18"/>
          <w:szCs w:val="18"/>
          <w:u w:val="single" w:color="auto"/>
          <w:color w:val="auto"/>
        </w:rPr>
        <w:t>16.2(a)</w:t>
      </w:r>
      <w:r>
        <w:rPr>
          <w:rFonts w:ascii="Arial" w:cs="Arial" w:eastAsia="Arial" w:hAnsi="Arial"/>
          <w:sz w:val="18"/>
          <w:szCs w:val="18"/>
          <w:color w:val="auto"/>
        </w:rPr>
        <w:t xml:space="preserve">, </w:t>
      </w:r>
      <w:r>
        <w:rPr>
          <w:rFonts w:ascii="Arial" w:cs="Arial" w:eastAsia="Arial" w:hAnsi="Arial"/>
          <w:sz w:val="18"/>
          <w:szCs w:val="18"/>
          <w:u w:val="single" w:color="auto"/>
          <w:color w:val="auto"/>
        </w:rPr>
        <w:t>16.2(c)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16.2(e)</w:t>
      </w:r>
      <w:r>
        <w:rPr>
          <w:rFonts w:ascii="Arial" w:cs="Arial" w:eastAsia="Arial" w:hAnsi="Arial"/>
          <w:sz w:val="18"/>
          <w:szCs w:val="18"/>
          <w:color w:val="auto"/>
        </w:rPr>
        <w:t xml:space="preserve">, if applicable. Borrowers agree that each Participant shall be entitled to the benefits of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with respect to its participation in any portion of the Commitments and the Obligations so long as such Participant complies with the obligations set forth in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with respect thereto.</w:t>
      </w:r>
    </w:p>
    <w:p>
      <w:pPr>
        <w:spacing w:after="0" w:line="189" w:lineRule="exact"/>
        <w:rPr>
          <w:rFonts w:ascii="Arial" w:cs="Arial" w:eastAsia="Arial" w:hAnsi="Arial"/>
          <w:sz w:val="16"/>
          <w:szCs w:val="16"/>
          <w:color w:val="010000"/>
        </w:rPr>
      </w:pPr>
    </w:p>
    <w:p>
      <w:pPr>
        <w:jc w:val="both"/>
        <w:ind w:firstLine="1304"/>
        <w:spacing w:after="0" w:line="270" w:lineRule="auto"/>
        <w:tabs>
          <w:tab w:leader="none" w:pos="2391" w:val="left"/>
        </w:tabs>
        <w:numPr>
          <w:ilvl w:val="0"/>
          <w:numId w:val="185"/>
        </w:numPr>
        <w:rPr>
          <w:rFonts w:ascii="Arial" w:cs="Arial" w:eastAsia="Arial" w:hAnsi="Arial"/>
          <w:sz w:val="17"/>
          <w:szCs w:val="17"/>
          <w:color w:val="010000"/>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due diligence and reporting requirements of FATCA (including those contained in Section 1471(b) or 1472(b) of the IRC, as applicable), such Lender shall deliver to Agent (or, in the case of a Participant, to the Lender granting the participation only) at the time or times prescribed by law and at such time or times reasonably requested by Agent (or, in the case of a Participant, the Lender granting the participation) such documentation prescribed by applicable law (including as prescribed by Section 1471(b)(3)(C)(i) of the IRC) and such additional documentation reasonably requested by Agent (or, in the case of a Participant, the Lender granting the participation) as may be necessary for Agent or Borrowers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7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16.3</w:t>
      </w:r>
      <w:r>
        <w:rPr>
          <w:sz w:val="20"/>
          <w:szCs w:val="20"/>
          <w:color w:val="auto"/>
        </w:rPr>
        <w:tab/>
      </w:r>
      <w:r>
        <w:rPr>
          <w:rFonts w:ascii="Arial" w:cs="Arial" w:eastAsia="Arial" w:hAnsi="Arial"/>
          <w:sz w:val="16"/>
          <w:szCs w:val="16"/>
          <w:b w:val="1"/>
          <w:bCs w:val="1"/>
          <w:u w:val="single" w:color="auto"/>
          <w:color w:val="auto"/>
        </w:rPr>
        <w:t>Reductions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96" w:lineRule="auto"/>
        <w:tabs>
          <w:tab w:leader="none" w:pos="2364" w:val="left"/>
        </w:tabs>
        <w:numPr>
          <w:ilvl w:val="0"/>
          <w:numId w:val="186"/>
        </w:numPr>
        <w:rPr>
          <w:rFonts w:ascii="Arial" w:cs="Arial" w:eastAsia="Arial" w:hAnsi="Arial"/>
          <w:sz w:val="16"/>
          <w:szCs w:val="16"/>
          <w:color w:val="010000"/>
        </w:rPr>
      </w:pPr>
      <w:r>
        <w:rPr>
          <w:rFonts w:ascii="Arial" w:cs="Arial" w:eastAsia="Arial" w:hAnsi="Arial"/>
          <w:sz w:val="16"/>
          <w:szCs w:val="16"/>
          <w:color w:val="auto"/>
        </w:rPr>
        <w:t xml:space="preserve">If a Lender or a Participant is subject to an applicable withholding tax, Agent (or, in the case of a Participant, the Lender granting the participation) may withhold from any payment to such Lender or such Participant an amount equivalent to the applicable withholding tax. If the forms or other documentation required by </w:t>
      </w:r>
      <w:r>
        <w:rPr>
          <w:rFonts w:ascii="Arial" w:cs="Arial" w:eastAsia="Arial" w:hAnsi="Arial"/>
          <w:sz w:val="16"/>
          <w:szCs w:val="16"/>
          <w:u w:val="single" w:color="auto"/>
          <w:color w:val="auto"/>
        </w:rPr>
        <w:t>Section 16.2(a)</w:t>
      </w:r>
      <w:r>
        <w:rPr>
          <w:rFonts w:ascii="Arial" w:cs="Arial" w:eastAsia="Arial" w:hAnsi="Arial"/>
          <w:sz w:val="16"/>
          <w:szCs w:val="16"/>
          <w:color w:val="auto"/>
        </w:rPr>
        <w:t xml:space="preserve">, </w:t>
      </w:r>
      <w:r>
        <w:rPr>
          <w:rFonts w:ascii="Arial" w:cs="Arial" w:eastAsia="Arial" w:hAnsi="Arial"/>
          <w:sz w:val="16"/>
          <w:szCs w:val="16"/>
          <w:u w:val="single" w:color="auto"/>
          <w:color w:val="auto"/>
        </w:rPr>
        <w:t>16.2(c)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16.2(e)</w:t>
      </w:r>
      <w:r>
        <w:rPr>
          <w:rFonts w:ascii="Arial" w:cs="Arial" w:eastAsia="Arial" w:hAnsi="Arial"/>
          <w:sz w:val="16"/>
          <w:szCs w:val="16"/>
          <w:color w:val="auto"/>
        </w:rPr>
        <w:t xml:space="preserve"> are not delivered to Agent (or, in the case of a Participant, to the Lender granting the participation), then Agent (or, in the case of a Participant, the Lender granting the participation) may withhold from any payment to such Lender or such Participant not providing such forms or other documentation an amount equivalent to the applicable withholding tax.</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jc w:val="both"/>
        <w:ind w:firstLine="1304"/>
        <w:spacing w:after="0" w:line="287" w:lineRule="auto"/>
        <w:tabs>
          <w:tab w:leader="none" w:pos="2320" w:val="left"/>
        </w:tabs>
        <w:numPr>
          <w:ilvl w:val="0"/>
          <w:numId w:val="187"/>
        </w:numPr>
        <w:rPr>
          <w:rFonts w:ascii="Arial" w:cs="Arial" w:eastAsia="Arial" w:hAnsi="Arial"/>
          <w:sz w:val="16"/>
          <w:szCs w:val="16"/>
          <w:color w:val="010000"/>
        </w:rPr>
      </w:pPr>
      <w:r>
        <w:rPr>
          <w:rFonts w:ascii="Arial" w:cs="Arial" w:eastAsia="Arial" w:hAnsi="Arial"/>
          <w:sz w:val="16"/>
          <w:szCs w:val="16"/>
          <w:color w:val="auto"/>
        </w:rPr>
        <w:t xml:space="preserve">If the IRS or any other Governmental Authority of the United States or other jurisdiction asserts a claim that Agent (or, in the case of a Participant, the Lender granting the participation) did not properly withhold tax from amounts paid to or for the account of any Lender or any Participant due to a failure on the part of the Lender or any Participant (because the appropriate form was not delivered, was not properly executed, because such Lender failed to notify Agent (or such Participant failed to notify the Lender granting the participation) of a change in circumstances which rendered the exemption from, or reduction of, withholding tax ineffective, because such Lender failed to comply with the provisions of Section 13.1(i) relating to the maintenance of a Participant Register, or for any other reason) such Lender shall indemnify and hold Agent harmless (or, in the case of a Participant, such Participant shall indemnify and hold the Lender granting the participation harmless) for all amounts paid, directly or indirectly, by Agent (or, in the case of a Participant,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Arial" w:cs="Arial" w:eastAsia="Arial" w:hAnsi="Arial"/>
          <w:sz w:val="16"/>
          <w:szCs w:val="16"/>
          <w:u w:val="single" w:color="auto"/>
          <w:color w:val="auto"/>
        </w:rPr>
        <w:t>Section 16</w:t>
      </w:r>
      <w:r>
        <w:rPr>
          <w:rFonts w:ascii="Arial" w:cs="Arial" w:eastAsia="Arial" w:hAnsi="Arial"/>
          <w:sz w:val="16"/>
          <w:szCs w:val="16"/>
          <w:color w:val="auto"/>
        </w:rPr>
        <w:t>, together with all costs and expenses (including attorneys’ fees and expenses). The obligation of the Lenders and the Participants under this subsection shall survive the termination of this Agreement, the resignation or replacement of Agent and the repayment of all Obligations.</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010000"/>
        </w:rPr>
        <w:t xml:space="preserve">16.4 </w:t>
      </w:r>
      <w:r>
        <w:rPr>
          <w:rFonts w:ascii="Arial" w:cs="Arial" w:eastAsia="Arial" w:hAnsi="Arial"/>
          <w:sz w:val="16"/>
          <w:szCs w:val="16"/>
          <w:b w:val="1"/>
          <w:bCs w:val="1"/>
          <w:u w:val="single" w:color="auto"/>
          <w:color w:val="000000"/>
        </w:rPr>
        <w:t>Refunds</w:t>
      </w:r>
      <w:r>
        <w:rPr>
          <w:rFonts w:ascii="Arial" w:cs="Arial" w:eastAsia="Arial" w:hAnsi="Arial"/>
          <w:sz w:val="16"/>
          <w:szCs w:val="16"/>
          <w:color w:val="000000"/>
        </w:rPr>
        <w:t>. If Agent or a Lender determines, in its sole discretion, that it has received a refund of any Indemnified Taxes to which the</w:t>
      </w:r>
      <w:r>
        <w:rPr>
          <w:rFonts w:ascii="Arial" w:cs="Arial" w:eastAsia="Arial" w:hAnsi="Arial"/>
          <w:sz w:val="16"/>
          <w:szCs w:val="16"/>
          <w:color w:val="010000"/>
        </w:rPr>
        <w:t xml:space="preserve"> </w:t>
      </w:r>
      <w:r>
        <w:rPr>
          <w:rFonts w:ascii="Arial" w:cs="Arial" w:eastAsia="Arial" w:hAnsi="Arial"/>
          <w:sz w:val="16"/>
          <w:szCs w:val="16"/>
          <w:color w:val="000000"/>
        </w:rPr>
        <w:t xml:space="preserve">Loan Parties have paid additional amounts pursuant to this </w:t>
      </w:r>
      <w:r>
        <w:rPr>
          <w:rFonts w:ascii="Arial" w:cs="Arial" w:eastAsia="Arial" w:hAnsi="Arial"/>
          <w:sz w:val="16"/>
          <w:szCs w:val="16"/>
          <w:u w:val="single" w:color="auto"/>
          <w:color w:val="000000"/>
        </w:rPr>
        <w:t>Section 16</w:t>
      </w:r>
      <w:r>
        <w:rPr>
          <w:rFonts w:ascii="Arial" w:cs="Arial" w:eastAsia="Arial" w:hAnsi="Arial"/>
          <w:sz w:val="16"/>
          <w:szCs w:val="16"/>
          <w:color w:val="000000"/>
        </w:rPr>
        <w:t xml:space="preserve">, it shall pay over such refund to the Administrative Borrower on behalf of the Loan Parties (but only to the extent of payments made, or additional amounts paid, by the Loan Parties under this </w:t>
      </w:r>
      <w:r>
        <w:rPr>
          <w:rFonts w:ascii="Arial" w:cs="Arial" w:eastAsia="Arial" w:hAnsi="Arial"/>
          <w:sz w:val="16"/>
          <w:szCs w:val="16"/>
          <w:u w:val="single" w:color="auto"/>
          <w:color w:val="000000"/>
        </w:rPr>
        <w:t>Section 16</w:t>
      </w:r>
      <w:r>
        <w:rPr>
          <w:rFonts w:ascii="Arial" w:cs="Arial" w:eastAsia="Arial" w:hAnsi="Arial"/>
          <w:sz w:val="16"/>
          <w:szCs w:val="16"/>
          <w:color w:val="000000"/>
        </w:rPr>
        <w:t xml:space="preserve"> with respect to Indemnified Taxes giving rise to such a refund), net of all out-of-pocket expenses of Agent or such Lender and without interest (other than any interest paid by the applicable Governmental Authority with respect to such a refund);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Loan Parties, upon the request of Agent or such Lender, agree to repay the amount paid over to the Loan Parties (plus any penalties, interest or other charges, imposed by the applicable Governmental Authority, other than such penalties, interest or other charges imposed as a result of the willful misconduct or gross negligence of Agent or Lender hereunder as finally determined by a court of competent jurisdiction) to Agent or such Lender in the event Agent or such Lender is required to repay such refund to such Governmental Authority. Notwithstanding anything in this Agreement to the contrary, this </w:t>
      </w:r>
      <w:r>
        <w:rPr>
          <w:rFonts w:ascii="Arial" w:cs="Arial" w:eastAsia="Arial" w:hAnsi="Arial"/>
          <w:sz w:val="16"/>
          <w:szCs w:val="16"/>
          <w:u w:val="single" w:color="auto"/>
          <w:color w:val="000000"/>
        </w:rPr>
        <w:t>Section 16</w:t>
      </w:r>
      <w:r>
        <w:rPr>
          <w:rFonts w:ascii="Arial" w:cs="Arial" w:eastAsia="Arial" w:hAnsi="Arial"/>
          <w:sz w:val="16"/>
          <w:szCs w:val="16"/>
          <w:color w:val="000000"/>
        </w:rPr>
        <w:t xml:space="preserve"> shall not be construed to require Agent or any Lender to make available its tax returns (or any other information which it deems confidential) to Loan Parties or any other Person or require Agent or any Lender to pay any amount to an indemnifying party pursuant to this </w:t>
      </w:r>
      <w:r>
        <w:rPr>
          <w:rFonts w:ascii="Arial" w:cs="Arial" w:eastAsia="Arial" w:hAnsi="Arial"/>
          <w:sz w:val="16"/>
          <w:szCs w:val="16"/>
          <w:u w:val="single" w:color="auto"/>
          <w:color w:val="000000"/>
        </w:rPr>
        <w:t>Section 16.4</w:t>
      </w:r>
      <w:r>
        <w:rPr>
          <w:rFonts w:ascii="Arial" w:cs="Arial" w:eastAsia="Arial" w:hAnsi="Arial"/>
          <w:sz w:val="16"/>
          <w:szCs w:val="16"/>
          <w:color w:val="000000"/>
        </w:rPr>
        <w:t>, the payment of which would place Agent or such Lender (or their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6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010000"/>
        </w:rPr>
        <w:t xml:space="preserve">16.5 </w:t>
      </w:r>
      <w:r>
        <w:rPr>
          <w:rFonts w:ascii="Arial" w:cs="Arial" w:eastAsia="Arial" w:hAnsi="Arial"/>
          <w:sz w:val="16"/>
          <w:szCs w:val="16"/>
          <w:b w:val="1"/>
          <w:bCs w:val="1"/>
          <w:u w:val="single" w:color="auto"/>
          <w:color w:val="000000"/>
        </w:rPr>
        <w:t>Lender Status Confirmation</w:t>
      </w:r>
      <w:r>
        <w:rPr>
          <w:rFonts w:ascii="Arial" w:cs="Arial" w:eastAsia="Arial" w:hAnsi="Arial"/>
          <w:sz w:val="16"/>
          <w:szCs w:val="16"/>
          <w:color w:val="000000"/>
        </w:rPr>
        <w:t>. Each Lender or Participant, as the case may be, confirms that, on the Closing Date, it is an Irish</w:t>
      </w:r>
      <w:r>
        <w:rPr>
          <w:rFonts w:ascii="Arial" w:cs="Arial" w:eastAsia="Arial" w:hAnsi="Arial"/>
          <w:sz w:val="16"/>
          <w:szCs w:val="16"/>
          <w:color w:val="010000"/>
        </w:rPr>
        <w:t xml:space="preserve"> </w:t>
      </w:r>
      <w:r>
        <w:rPr>
          <w:rFonts w:ascii="Arial" w:cs="Arial" w:eastAsia="Arial" w:hAnsi="Arial"/>
          <w:sz w:val="16"/>
          <w:szCs w:val="16"/>
          <w:color w:val="000000"/>
        </w:rPr>
        <w:t xml:space="preserve">Qualifying Lender. Each party which becomes a Lender or Participant, as the case may be, after the Closing Date shall indicate, in the Assignment and Acceptance which it executes on becoming a Lender, and for the benefit of each Irish Borrower and Agent, which one of the following categories it falls into: (i) not an Irish Qualifying Lender; or (ii) an Irish Qualifying Lender. If a Lender or Participant, as the case may be, fails to indicate its status in accordance with this </w:t>
      </w:r>
      <w:r>
        <w:rPr>
          <w:rFonts w:ascii="Arial" w:cs="Arial" w:eastAsia="Arial" w:hAnsi="Arial"/>
          <w:sz w:val="16"/>
          <w:szCs w:val="16"/>
          <w:u w:val="single" w:color="auto"/>
          <w:color w:val="000000"/>
        </w:rPr>
        <w:t>Section 16.5</w:t>
      </w:r>
      <w:r>
        <w:rPr>
          <w:rFonts w:ascii="Arial" w:cs="Arial" w:eastAsia="Arial" w:hAnsi="Arial"/>
          <w:sz w:val="16"/>
          <w:szCs w:val="16"/>
          <w:color w:val="000000"/>
        </w:rPr>
        <w:t>, then such Lender or Participant, as the case may be, shall be treated for the purposes of this Agreement (including by each Irish Borrower) as if it is not an Irish Qualifying Lender until such time as it notifies Agent which category applies (and Agent, upon receipt of such notification, shall inform each Irish Borrower). For the avoidance of doubt, an Assignment and Acceptance shall not be invalidated by any failure of a Lender or Participant, as the case may be, to comply with this Section. A Lender or Participant, as the case may be, shall promptly notify Agent of any change in its status as an Irish Qualifying Lender (and Agent, upon receipt of such notification, shall inform each Irish Borrower). Each Lender or Participant, as the case may be, upon request from the Irish Borrower or Agent from time to time, shall as soon as reasonably practicable provide such information as may be required for the purposes of sections 891A, 891E, 891F and 891G TCA (and any regulations made thereunder).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ind w:left="900" w:hanging="892"/>
        <w:spacing w:after="0"/>
        <w:tabs>
          <w:tab w:leader="none" w:pos="900" w:val="left"/>
        </w:tabs>
        <w:numPr>
          <w:ilvl w:val="0"/>
          <w:numId w:val="188"/>
        </w:numPr>
        <w:rPr>
          <w:rFonts w:ascii="Arial" w:cs="Arial" w:eastAsia="Arial" w:hAnsi="Arial"/>
          <w:sz w:val="18"/>
          <w:szCs w:val="18"/>
          <w:color w:val="010000"/>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010000"/>
        </w:rPr>
        <w:t xml:space="preserve">17.1 </w:t>
      </w:r>
      <w:r>
        <w:rPr>
          <w:rFonts w:ascii="Arial" w:cs="Arial" w:eastAsia="Arial" w:hAnsi="Arial"/>
          <w:sz w:val="18"/>
          <w:szCs w:val="18"/>
          <w:b w:val="1"/>
          <w:bCs w:val="1"/>
          <w:u w:val="single" w:color="auto"/>
          <w:color w:val="000000"/>
        </w:rPr>
        <w:t>Effectiveness</w:t>
      </w:r>
      <w:r>
        <w:rPr>
          <w:rFonts w:ascii="Arial" w:cs="Arial" w:eastAsia="Arial" w:hAnsi="Arial"/>
          <w:sz w:val="18"/>
          <w:szCs w:val="18"/>
          <w:color w:val="000000"/>
        </w:rPr>
        <w:t>. This Agreement shall be binding and deemed effective when executed by Parent, each Borrower, Agent, and each</w:t>
      </w:r>
      <w:r>
        <w:rPr>
          <w:rFonts w:ascii="Arial" w:cs="Arial" w:eastAsia="Arial" w:hAnsi="Arial"/>
          <w:sz w:val="18"/>
          <w:szCs w:val="18"/>
          <w:color w:val="010000"/>
        </w:rPr>
        <w:t xml:space="preserve"> </w:t>
      </w:r>
      <w:r>
        <w:rPr>
          <w:rFonts w:ascii="Arial" w:cs="Arial" w:eastAsia="Arial" w:hAnsi="Arial"/>
          <w:sz w:val="18"/>
          <w:szCs w:val="18"/>
          <w:color w:val="000000"/>
        </w:rPr>
        <w:t>Lender whose signature is provided for on the signature pages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17.2 </w:t>
      </w:r>
      <w:r>
        <w:rPr>
          <w:rFonts w:ascii="Arial" w:cs="Arial" w:eastAsia="Arial" w:hAnsi="Arial"/>
          <w:sz w:val="18"/>
          <w:szCs w:val="18"/>
          <w:b w:val="1"/>
          <w:bCs w:val="1"/>
          <w:u w:val="single" w:color="auto"/>
          <w:color w:val="000000"/>
        </w:rPr>
        <w:t>Section Headings</w:t>
      </w:r>
      <w:r>
        <w:rPr>
          <w:rFonts w:ascii="Arial" w:cs="Arial" w:eastAsia="Arial" w:hAnsi="Arial"/>
          <w:sz w:val="18"/>
          <w:szCs w:val="18"/>
          <w:color w:val="000000"/>
        </w:rPr>
        <w:t>. Headings and numbers have been set forth herein for convenience only. Unless the contrary is compelled by the</w:t>
      </w:r>
      <w:r>
        <w:rPr>
          <w:rFonts w:ascii="Arial" w:cs="Arial" w:eastAsia="Arial" w:hAnsi="Arial"/>
          <w:sz w:val="18"/>
          <w:szCs w:val="18"/>
          <w:color w:val="010000"/>
        </w:rPr>
        <w:t xml:space="preserve"> </w:t>
      </w:r>
      <w:r>
        <w:rPr>
          <w:rFonts w:ascii="Arial" w:cs="Arial" w:eastAsia="Arial" w:hAnsi="Arial"/>
          <w:sz w:val="18"/>
          <w:szCs w:val="18"/>
          <w:color w:val="000000"/>
        </w:rPr>
        <w:t>context, everything contained in each Section applies equally to this entire Agreement.</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010000"/>
        </w:rPr>
        <w:t xml:space="preserve">17.3 </w:t>
      </w:r>
      <w:r>
        <w:rPr>
          <w:rFonts w:ascii="Arial" w:cs="Arial" w:eastAsia="Arial" w:hAnsi="Arial"/>
          <w:sz w:val="16"/>
          <w:szCs w:val="16"/>
          <w:b w:val="1"/>
          <w:bCs w:val="1"/>
          <w:u w:val="single" w:color="auto"/>
          <w:color w:val="000000"/>
        </w:rPr>
        <w:t>Interpretation</w:t>
      </w:r>
      <w:r>
        <w:rPr>
          <w:rFonts w:ascii="Arial" w:cs="Arial" w:eastAsia="Arial" w:hAnsi="Arial"/>
          <w:sz w:val="16"/>
          <w:szCs w:val="16"/>
          <w:color w:val="000000"/>
        </w:rPr>
        <w:t>. Neither this Agreement nor any uncertainty or ambiguity herein shall be construed against the Lender Group or Parent</w:t>
      </w:r>
      <w:r>
        <w:rPr>
          <w:rFonts w:ascii="Arial" w:cs="Arial" w:eastAsia="Arial" w:hAnsi="Arial"/>
          <w:sz w:val="16"/>
          <w:szCs w:val="16"/>
          <w:color w:val="010000"/>
        </w:rPr>
        <w:t xml:space="preserve"> </w:t>
      </w:r>
      <w:r>
        <w:rPr>
          <w:rFonts w:ascii="Arial" w:cs="Arial" w:eastAsia="Arial" w:hAnsi="Arial"/>
          <w:sz w:val="16"/>
          <w:szCs w:val="16"/>
          <w:color w:val="000000"/>
        </w:rPr>
        <w:t>or any Borrower, whether under any rule of construction or otherwise. On the contrary, this Agreement has been reviewed by all parties and shall be construed and interpreted according to the ordinary meaning of the words used so as to accomplish fairly the purposes and intentions of all parties hereto.</w:t>
      </w:r>
    </w:p>
    <w:p>
      <w:pPr>
        <w:spacing w:after="0" w:line="14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010000"/>
        </w:rPr>
        <w:t xml:space="preserve">17.4 </w:t>
      </w:r>
      <w:r>
        <w:rPr>
          <w:rFonts w:ascii="Arial" w:cs="Arial" w:eastAsia="Arial" w:hAnsi="Arial"/>
          <w:sz w:val="18"/>
          <w:szCs w:val="18"/>
          <w:b w:val="1"/>
          <w:bCs w:val="1"/>
          <w:u w:val="single" w:color="auto"/>
          <w:color w:val="000000"/>
        </w:rPr>
        <w:t>Severability of Provisions</w:t>
      </w:r>
      <w:r>
        <w:rPr>
          <w:rFonts w:ascii="Arial" w:cs="Arial" w:eastAsia="Arial" w:hAnsi="Arial"/>
          <w:sz w:val="18"/>
          <w:szCs w:val="18"/>
          <w:color w:val="000000"/>
        </w:rPr>
        <w:t>. Each provision of this Agreement shall be severable from every other provision of this Agreement for the</w:t>
      </w:r>
      <w:r>
        <w:rPr>
          <w:rFonts w:ascii="Arial" w:cs="Arial" w:eastAsia="Arial" w:hAnsi="Arial"/>
          <w:sz w:val="18"/>
          <w:szCs w:val="18"/>
          <w:color w:val="010000"/>
        </w:rPr>
        <w:t xml:space="preserve"> </w:t>
      </w:r>
      <w:r>
        <w:rPr>
          <w:rFonts w:ascii="Arial" w:cs="Arial" w:eastAsia="Arial" w:hAnsi="Arial"/>
          <w:sz w:val="18"/>
          <w:szCs w:val="18"/>
          <w:color w:val="000000"/>
        </w:rPr>
        <w:t>purpose of determining the legal enforceability of any specific provision.</w:t>
      </w:r>
    </w:p>
    <w:p>
      <w:pPr>
        <w:spacing w:after="0" w:line="1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010000"/>
        </w:rPr>
        <w:t xml:space="preserve">17.5 </w:t>
      </w:r>
      <w:r>
        <w:rPr>
          <w:rFonts w:ascii="Arial" w:cs="Arial" w:eastAsia="Arial" w:hAnsi="Arial"/>
          <w:sz w:val="16"/>
          <w:szCs w:val="16"/>
          <w:b w:val="1"/>
          <w:bCs w:val="1"/>
          <w:u w:val="single" w:color="auto"/>
          <w:color w:val="000000"/>
        </w:rPr>
        <w:t>Bank Product Providers</w:t>
      </w:r>
      <w:r>
        <w:rPr>
          <w:rFonts w:ascii="Arial" w:cs="Arial" w:eastAsia="Arial" w:hAnsi="Arial"/>
          <w:sz w:val="16"/>
          <w:szCs w:val="16"/>
          <w:color w:val="000000"/>
        </w:rPr>
        <w:t>. Each Bank Product Provider in its capacity as such shall be deemed a third party beneficiary hereof and of</w:t>
      </w:r>
      <w:r>
        <w:rPr>
          <w:rFonts w:ascii="Arial" w:cs="Arial" w:eastAsia="Arial" w:hAnsi="Arial"/>
          <w:sz w:val="16"/>
          <w:szCs w:val="16"/>
          <w:color w:val="010000"/>
        </w:rPr>
        <w:t xml:space="preserve"> </w:t>
      </w:r>
      <w:r>
        <w:rPr>
          <w:rFonts w:ascii="Arial" w:cs="Arial" w:eastAsia="Arial" w:hAnsi="Arial"/>
          <w:sz w:val="16"/>
          <w:szCs w:val="16"/>
          <w:color w:val="000000"/>
        </w:rPr>
        <w:t>the provisions of the other Loan Documents for purposes of any reference in a Loan Document to the parties for whom Agent is acting. Agent hereby agrees to act as agent for such Bank Product Providers and, by virtue of entering into a Bank Product Agreement, the applicable Bank Product Provider shall be automatically deemed to have appointed Agent as its agent and to have accepted the benefits of the Loan Documents. It is understood and agreed that the rights and benefits of each Bank Product Provider under the Loan Documents consist exclusively of such Bank Product Provider’s being a beneficiary of the Liens and security interests (and, if applicable, guarantees) granted to Agent and the right to share in payments and collections out of the Collateral as more fully set forth herein. In addition, each Bank Product Provider, by virtue of entering into a Bank Product Agreement, shall be automatically deemed to have agreed that Agent shall have the right, but shall have no obligation, to establish, maintain, relax, or release reserves in respect of the Bank Product Obligations and that if reserves are established there is no obligation on the part of Agent to determine or insure whether the amount of any such reserve is appropriate or not. In connection with any such distribution of payments or proceeds of Collateral, Agent shall be entitled to assume no amounts are due or owing to any Bank Product Provider unless such Bank Product Provider has provided a written certification (setting forth a reasonably detailed calculation) to Agent as to the amounts that are due and owing to it and such written certification is received by Agent a reasonable period of time prior to the making of such distribution. Agent shall have no obligation to calculate the amount due and payable with respect to any Bank Products, but may rely upon the written certification of the amount due and payable from the applicable Bank Product Provider. In the absence of an updated certification, Agent shall be entitled to assume that the amount due and payable to the applicable Bank Product Provider is the amount last certified to Agent by such Bank Product Provider as being due and payable (less any distributions made to such Bank Product Provider on account thereof). Borrowers may obtain Bank Products from any Bank Product Provider, although Borrowers are not required to do so. Each Borrower acknowledges and agrees that no Bank Product Provider has committed to provide any Bank Products and that the providing of Bank Products by any Bank Product Provider is in the sole and absolute discretion of such Bank Product Provider. Notwithstanding anything to the contrary in this Agreement or any other Loan Document, no provider or holder of any Bank Product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Loan Documents, including as to any matter relating to the Collateral or the release of Collateral or Guarantors.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0" w:name="page251"/>
    <w:bookmarkEnd w:id="250"/>
    <w:p>
      <w:pPr>
        <w:jc w:val="both"/>
        <w:ind w:firstLine="648"/>
        <w:spacing w:after="0" w:line="258" w:lineRule="auto"/>
        <w:rPr>
          <w:sz w:val="20"/>
          <w:szCs w:val="20"/>
          <w:color w:val="auto"/>
        </w:rPr>
      </w:pPr>
      <w:r>
        <w:rPr>
          <w:rFonts w:ascii="Arial" w:cs="Arial" w:eastAsia="Arial" w:hAnsi="Arial"/>
          <w:sz w:val="18"/>
          <w:szCs w:val="18"/>
          <w:color w:val="010000"/>
        </w:rPr>
        <w:t xml:space="preserve">17.6 </w:t>
      </w:r>
      <w:r>
        <w:rPr>
          <w:rFonts w:ascii="Arial" w:cs="Arial" w:eastAsia="Arial" w:hAnsi="Arial"/>
          <w:sz w:val="18"/>
          <w:szCs w:val="18"/>
          <w:b w:val="1"/>
          <w:bCs w:val="1"/>
          <w:u w:val="single" w:color="auto"/>
          <w:color w:val="000000"/>
        </w:rPr>
        <w:t>Debtor-Creditor Relationship</w:t>
      </w:r>
      <w:r>
        <w:rPr>
          <w:rFonts w:ascii="Arial" w:cs="Arial" w:eastAsia="Arial" w:hAnsi="Arial"/>
          <w:sz w:val="18"/>
          <w:szCs w:val="18"/>
          <w:color w:val="000000"/>
        </w:rPr>
        <w:t>. The relationship between the Lenders and Agent, on the one hand, and the Loan Parties, on the other</w:t>
      </w:r>
      <w:r>
        <w:rPr>
          <w:rFonts w:ascii="Arial" w:cs="Arial" w:eastAsia="Arial" w:hAnsi="Arial"/>
          <w:sz w:val="18"/>
          <w:szCs w:val="18"/>
          <w:color w:val="010000"/>
        </w:rPr>
        <w:t xml:space="preserve"> </w:t>
      </w:r>
      <w:r>
        <w:rPr>
          <w:rFonts w:ascii="Arial" w:cs="Arial" w:eastAsia="Arial" w:hAnsi="Arial"/>
          <w:sz w:val="18"/>
          <w:szCs w:val="18"/>
          <w:color w:val="000000"/>
        </w:rPr>
        <w:t>hand, is solely that of creditor and debtor. No member of the Lender Group has (or shall be deemed to have) any fiduciary relationship or duty to any Loan Party arising out of or in connection with the Loan Documents or the transactions contemplated thereby, and there is no agency or joint venture relationship between the members of the Lender Group, on the one hand, and the Loan Parties, on the other hand, by virtue of any Loan Document or any transaction contemplated therein.</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17.7 </w:t>
      </w:r>
      <w:r>
        <w:rPr>
          <w:rFonts w:ascii="Arial" w:cs="Arial" w:eastAsia="Arial" w:hAnsi="Arial"/>
          <w:sz w:val="18"/>
          <w:szCs w:val="18"/>
          <w:b w:val="1"/>
          <w:bCs w:val="1"/>
          <w:u w:val="single" w:color="auto"/>
          <w:color w:val="000000"/>
        </w:rPr>
        <w:t>Counterparts; Electronic Execution</w:t>
      </w:r>
      <w:r>
        <w:rPr>
          <w:rFonts w:ascii="Arial" w:cs="Arial" w:eastAsia="Arial" w:hAnsi="Arial"/>
          <w:sz w:val="18"/>
          <w:szCs w:val="18"/>
          <w:color w:val="000000"/>
        </w:rPr>
        <w:t>. This Agreement may be executed in any number of counterparts and by different parties on</w:t>
      </w:r>
      <w:r>
        <w:rPr>
          <w:rFonts w:ascii="Arial" w:cs="Arial" w:eastAsia="Arial" w:hAnsi="Arial"/>
          <w:sz w:val="18"/>
          <w:szCs w:val="18"/>
          <w:color w:val="010000"/>
        </w:rPr>
        <w:t xml:space="preserve"> </w:t>
      </w:r>
      <w:r>
        <w:rPr>
          <w:rFonts w:ascii="Arial" w:cs="Arial" w:eastAsia="Arial" w:hAnsi="Arial"/>
          <w:sz w:val="18"/>
          <w:szCs w:val="18"/>
          <w:color w:val="000000"/>
        </w:rPr>
        <w:t xml:space="preserve">separate counterparts, each of which, when executed and delivered, shall be deemed to be an original, and all of which, when taken together, shall constitute but one and the same Agreement. Delivery of an executed counterpart of this Agreement by telefacsimile or other electronic method of transmission shall be equally as effective as delivery of an original executed counterpart of this Agreement. Any party delivering an executed counterpart of this Agreement by telefacsimile or other electronic method of transmission also shall deliver an original executed counterpart of this Agreement but the failure to deliver an original executed counterpart shall not affect the validity, enforceability, and binding effect of this Agreement. The foregoing shall apply to each other Loan Document </w:t>
      </w:r>
      <w:r>
        <w:rPr>
          <w:rFonts w:ascii="Arial" w:cs="Arial" w:eastAsia="Arial" w:hAnsi="Arial"/>
          <w:sz w:val="18"/>
          <w:szCs w:val="18"/>
          <w:i w:val="1"/>
          <w:iCs w:val="1"/>
          <w:color w:val="000000"/>
        </w:rPr>
        <w:t>mutatis mutandis</w:t>
      </w:r>
      <w:r>
        <w:rPr>
          <w:rFonts w:ascii="Arial" w:cs="Arial" w:eastAsia="Arial" w:hAnsi="Arial"/>
          <w:sz w:val="18"/>
          <w:szCs w:val="18"/>
          <w:color w:val="000000"/>
        </w:rPr>
        <w:t>.</w:t>
      </w:r>
    </w:p>
    <w:p>
      <w:pPr>
        <w:spacing w:after="0" w:line="18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17.8</w:t>
      </w:r>
      <w:r>
        <w:rPr>
          <w:sz w:val="20"/>
          <w:szCs w:val="20"/>
          <w:color w:val="auto"/>
        </w:rPr>
        <w:tab/>
      </w:r>
      <w:r>
        <w:rPr>
          <w:rFonts w:ascii="Arial" w:cs="Arial" w:eastAsia="Arial" w:hAnsi="Arial"/>
          <w:sz w:val="16"/>
          <w:szCs w:val="16"/>
          <w:b w:val="1"/>
          <w:bCs w:val="1"/>
          <w:u w:val="single" w:color="auto"/>
          <w:color w:val="auto"/>
        </w:rPr>
        <w:t>Revival and Reinstatement of Obligations; Certain Waivers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85" w:lineRule="auto"/>
        <w:tabs>
          <w:tab w:leader="none" w:pos="2310" w:val="left"/>
        </w:tabs>
        <w:numPr>
          <w:ilvl w:val="0"/>
          <w:numId w:val="189"/>
        </w:numPr>
        <w:rPr>
          <w:rFonts w:ascii="Arial" w:cs="Arial" w:eastAsia="Arial" w:hAnsi="Arial"/>
          <w:sz w:val="16"/>
          <w:szCs w:val="16"/>
          <w:color w:val="010000"/>
        </w:rPr>
      </w:pPr>
      <w:r>
        <w:rPr>
          <w:rFonts w:ascii="Arial" w:cs="Arial" w:eastAsia="Arial" w:hAnsi="Arial"/>
          <w:sz w:val="16"/>
          <w:szCs w:val="16"/>
          <w:color w:val="auto"/>
        </w:rPr>
        <w:t>If any member of the Lender Group or any Bank Product Provider repays, refunds, restores, or returns in whole or in part, any payment or property (including any proceeds of Collateral) previously paid or transferred to such member of the Lender Group or such Bank Product Provider in full or partial satisfaction of any Obligation or on account of any other obligation of any Loan Party under any Loan Document or any Bank Product Agreement, because the payment, transfer, or the incurrence of the obligation so satisfied is asserted or declared to be void, voidable, or otherwise recoverable under any law relating to creditors’ rights, including provisions of the Bankruptcy Code relating to fraudulent transfers, preferences, or other voidable or recoverable obligations or transfers (each, a “</w:t>
      </w:r>
      <w:r>
        <w:rPr>
          <w:rFonts w:ascii="Arial" w:cs="Arial" w:eastAsia="Arial" w:hAnsi="Arial"/>
          <w:sz w:val="16"/>
          <w:szCs w:val="16"/>
          <w:u w:val="single" w:color="auto"/>
          <w:color w:val="auto"/>
        </w:rPr>
        <w:t>Voidable Transfer</w:t>
      </w:r>
      <w:r>
        <w:rPr>
          <w:rFonts w:ascii="Arial" w:cs="Arial" w:eastAsia="Arial" w:hAnsi="Arial"/>
          <w:sz w:val="16"/>
          <w:szCs w:val="16"/>
          <w:color w:val="auto"/>
        </w:rPr>
        <w:t>”), or because such member of the Lender Group or Bank Product Provider elects to do so on the reasonable advice of its counsel in connection with a claim that the payment, transfer, or incurrence is or may be a Voidable Transfer, then, as to any such Voidable Transfer, or the amount thereof that such member of the Lender Group or Bank Product Provider elects to repay, restore, or return (including pursuant to a settlement of any claim in respect thereof), and as to all reasonable costs, expenses, and attorneys’ fees of such member of the Lender Group or Bank Product Provider related thereto, (i) the liability of the Loan Parties with respect to the amount or property paid, refunded, restored, or returned will automatically and immediately be revived, reinstated, and restored and will exist, and (ii) Agent’s Liens securing such liability shall be effective, revived, and remain in full force and effect, in each case, as fully as if such Voidable Transfer had never been made. If, prior to any of the foregoing, (A) Agent’s Liens shall have been released or terminated, or (B) any provision of this Agreement shall have been terminated or cancelled, Agent’s Liens, or such provision of this Agreement, shall be reinstated in full force and effect and such prior release, termination, cancellation or surrender shall not diminish, release, discharge, impair or otherwise affect the obligation of any Loan Party in respect of such liability or any Collateral securing such liability. This provision shall survive the termination of this Agreement and the repayment in full of the Obligations.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1" w:name="page252"/>
    <w:bookmarkEnd w:id="251"/>
    <w:p>
      <w:pPr>
        <w:jc w:val="both"/>
        <w:ind w:firstLine="1304"/>
        <w:spacing w:after="0" w:line="286" w:lineRule="auto"/>
        <w:tabs>
          <w:tab w:leader="none" w:pos="2320" w:val="left"/>
        </w:tabs>
        <w:numPr>
          <w:ilvl w:val="0"/>
          <w:numId w:val="190"/>
        </w:numPr>
        <w:rPr>
          <w:rFonts w:ascii="Arial" w:cs="Arial" w:eastAsia="Arial" w:hAnsi="Arial"/>
          <w:sz w:val="17"/>
          <w:szCs w:val="17"/>
          <w:color w:val="010000"/>
        </w:rPr>
      </w:pPr>
      <w:r>
        <w:rPr>
          <w:rFonts w:ascii="Arial" w:cs="Arial" w:eastAsia="Arial" w:hAnsi="Arial"/>
          <w:sz w:val="17"/>
          <w:szCs w:val="17"/>
          <w:color w:val="auto"/>
        </w:rPr>
        <w:t>Anything to the contrary contained herein notwithstanding, if Agent or any Lender accepts a guaranty of only a portion of the Obligations pursuant to any guaranty, each Borrower hereby waive its right under Section 2822(a) of the California Civil Code or any similar laws of any other applicable jurisdiction to designate the portion of the Obligations satisfied by the applicable guarantor’s partial payment.</w:t>
      </w:r>
    </w:p>
    <w:p>
      <w:pPr>
        <w:spacing w:after="0" w:line="16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17.9</w:t>
      </w:r>
      <w:r>
        <w:rPr>
          <w:sz w:val="20"/>
          <w:szCs w:val="20"/>
          <w:color w:val="auto"/>
        </w:rPr>
        <w:tab/>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83" w:lineRule="auto"/>
        <w:tabs>
          <w:tab w:leader="none" w:pos="2350" w:val="left"/>
        </w:tabs>
        <w:numPr>
          <w:ilvl w:val="1"/>
          <w:numId w:val="191"/>
        </w:numPr>
        <w:rPr>
          <w:rFonts w:ascii="Arial" w:cs="Arial" w:eastAsia="Arial" w:hAnsi="Arial"/>
          <w:sz w:val="16"/>
          <w:szCs w:val="16"/>
          <w:color w:val="010000"/>
        </w:rPr>
      </w:pPr>
      <w:r>
        <w:rPr>
          <w:rFonts w:ascii="Arial" w:cs="Arial" w:eastAsia="Arial" w:hAnsi="Arial"/>
          <w:sz w:val="16"/>
          <w:szCs w:val="16"/>
          <w:color w:val="auto"/>
        </w:rPr>
        <w:t>Agent and Lenders each individually (and not jointly or jointly and severally) agree that material, non-public information regarding the Loan Parties and their Subsidiaries, their operations, assets, and existing and contemplated business plans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be treated by Agent and the Lenders in a confidential manner, and shall not be disclosed by Agent and the Lenders to Persons who are not parties to this Agreement, except: (i) to attorneys for and other advisors, accountants, auditors, and consultants to any member of the Lender Group and to employees, directors and officers of any member of the Lender Group (the Persons in this clause (i), “</w:t>
      </w:r>
      <w:r>
        <w:rPr>
          <w:rFonts w:ascii="Arial" w:cs="Arial" w:eastAsia="Arial" w:hAnsi="Arial"/>
          <w:sz w:val="16"/>
          <w:szCs w:val="16"/>
          <w:u w:val="single" w:color="auto"/>
          <w:color w:val="auto"/>
        </w:rPr>
        <w:t>Lender Group Representatives</w:t>
      </w:r>
      <w:r>
        <w:rPr>
          <w:rFonts w:ascii="Arial" w:cs="Arial" w:eastAsia="Arial" w:hAnsi="Arial"/>
          <w:sz w:val="16"/>
          <w:szCs w:val="16"/>
          <w:color w:val="auto"/>
        </w:rPr>
        <w:t xml:space="preserve">”) on a “need to know” basis in connection with this Agreement and the transactions contemplated hereby and on a confidential basis, (ii) to Subsidiaries and Affiliates of any member of the Lender Group (including the Bank Product Providers);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Subsidiary or Affiliate shall have agreed to receive such information hereunder subject to the terms of this </w:t>
      </w:r>
      <w:r>
        <w:rPr>
          <w:rFonts w:ascii="Arial" w:cs="Arial" w:eastAsia="Arial" w:hAnsi="Arial"/>
          <w:sz w:val="16"/>
          <w:szCs w:val="16"/>
          <w:u w:val="single" w:color="auto"/>
          <w:color w:val="auto"/>
        </w:rPr>
        <w:t>Section 17.9</w:t>
      </w:r>
      <w:r>
        <w:rPr>
          <w:rFonts w:ascii="Arial" w:cs="Arial" w:eastAsia="Arial" w:hAnsi="Arial"/>
          <w:sz w:val="16"/>
          <w:szCs w:val="16"/>
          <w:color w:val="auto"/>
        </w:rPr>
        <w:t xml:space="preserve">, (iii) as may be required by regulatory authorities so long as such authorities are informed of the confidential nature of such information, (iv) as may be required by statute, decision, or judicial or administrative order, rule, or regulation;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spacing w:after="0" w:line="5" w:lineRule="exact"/>
        <w:rPr>
          <w:rFonts w:ascii="Arial" w:cs="Arial" w:eastAsia="Arial" w:hAnsi="Arial"/>
          <w:sz w:val="16"/>
          <w:szCs w:val="16"/>
          <w:color w:val="010000"/>
        </w:rPr>
      </w:pPr>
    </w:p>
    <w:p>
      <w:pPr>
        <w:jc w:val="both"/>
        <w:ind w:firstLine="8"/>
        <w:spacing w:after="0" w:line="266" w:lineRule="auto"/>
        <w:tabs>
          <w:tab w:leader="none" w:pos="287"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prior to any disclosure under this clause (iv), the disclosing party agrees to provide Borrowers with prior notice thereof, to the extent that it is practicable to do so and to the extent that the disclosing party is permitted to provide such prior notice to Borrowers pursuant to the terms of the applicable statute, decision, or judicial or administrative order, rule, or regulation and (y) any disclosure under this clause (iv) shall be limited to the portion of the Confidential Information as may be required by such statute, decision, or judicial or administrative order, rule, or regulation, (v) as may be agreed to in advance in writing by Borrowers, (vi) as requested or required by any Governmental Authority pursuant to any subpoena or other legal process;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prior to any disclosure under this clause (vi) the disclosing party agrees to provide Borrowers with prior written notice thereof, to the extent that it is practicable to do so and to the extent that the disclosing party is permitted to provide such prior written notice to Borrowers pursuant to the terms of the subpoena or other legal process and (y) any disclosure under this clause (vi) shall be limited to the portion of the Confidential Information as may be required by such Governmental Authority pursuant to such subpoena or other legal process, (vii) as to any such information that is or becomes generally available to the public (other than as a result of prohibited disclosure by Agent or the Lenders or the Lender Group Representatives), (viii) in connection with any assignment, participation or pledge of any Lender’s interest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receipt of Confidential Information any such assignee, participant, or pledgee shall have agreed in writing to receive such Confidential Information either subject to the terms of this </w:t>
      </w:r>
      <w:r>
        <w:rPr>
          <w:rFonts w:ascii="Arial" w:cs="Arial" w:eastAsia="Arial" w:hAnsi="Arial"/>
          <w:sz w:val="17"/>
          <w:szCs w:val="17"/>
          <w:u w:val="single" w:color="auto"/>
          <w:color w:val="auto"/>
        </w:rPr>
        <w:t>Section 17.9</w:t>
      </w:r>
      <w:r>
        <w:rPr>
          <w:rFonts w:ascii="Arial" w:cs="Arial" w:eastAsia="Arial" w:hAnsi="Arial"/>
          <w:sz w:val="17"/>
          <w:szCs w:val="17"/>
          <w:color w:val="auto"/>
        </w:rPr>
        <w:t xml:space="preserve"> or pursuant to confidentiality requirements substantially similar to those contained in this </w:t>
      </w:r>
      <w:r>
        <w:rPr>
          <w:rFonts w:ascii="Arial" w:cs="Arial" w:eastAsia="Arial" w:hAnsi="Arial"/>
          <w:sz w:val="17"/>
          <w:szCs w:val="17"/>
          <w:u w:val="single" w:color="auto"/>
          <w:color w:val="auto"/>
        </w:rPr>
        <w:t>Section 17.9</w:t>
      </w:r>
      <w:r>
        <w:rPr>
          <w:rFonts w:ascii="Arial" w:cs="Arial" w:eastAsia="Arial" w:hAnsi="Arial"/>
          <w:sz w:val="17"/>
          <w:szCs w:val="17"/>
          <w:color w:val="auto"/>
        </w:rPr>
        <w:t xml:space="preserve"> (and such Person may disclose such Confidential Information to Persons employed or engaged by them as described in clause (i) above), (ix) in connection with any litigation or other adversary proceeding involving parties hereto which such litigation or adversary proceeding involves claims related to the rights or duties of such parties under this Agreement or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that prior to any disclosure to any Person (other than any Loan Party, Agent, any Lender, any of their respective Affiliates, or their respective counsel) under this clause (ix) with respect to litigation involving any Person (other than any Borrower, Agent, any Lender, any of their respective Affiliates, or their respective counsel), the disclosing party agrees to provide Borrowers with prior written notice thereof, and (x) in connection with, and to the extent reasonably necessary for, the exercise of any secured creditor remedy under this Agreement or under any other Loan Document.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2" w:name="page253"/>
    <w:bookmarkEnd w:id="252"/>
    <w:p>
      <w:pPr>
        <w:jc w:val="both"/>
        <w:ind w:firstLine="1304"/>
        <w:spacing w:after="0" w:line="257" w:lineRule="auto"/>
        <w:tabs>
          <w:tab w:leader="none" w:pos="2441" w:val="left"/>
        </w:tabs>
        <w:numPr>
          <w:ilvl w:val="0"/>
          <w:numId w:val="193"/>
        </w:numPr>
        <w:rPr>
          <w:rFonts w:ascii="Arial" w:cs="Arial" w:eastAsia="Arial" w:hAnsi="Arial"/>
          <w:sz w:val="18"/>
          <w:szCs w:val="18"/>
          <w:color w:val="010000"/>
        </w:rPr>
      </w:pPr>
      <w:r>
        <w:rPr>
          <w:rFonts w:ascii="Arial" w:cs="Arial" w:eastAsia="Arial" w:hAnsi="Arial"/>
          <w:sz w:val="18"/>
          <w:szCs w:val="18"/>
          <w:color w:val="auto"/>
        </w:rPr>
        <w:t>Anything in this Agreement to the contrary notwithstanding, Agent may disclose information concerning the terms and conditions of this Agreement and the other Loan Documents to loan syndication and pricing reporting services or in its marketing or promotional materials, with such information to consist of deal terms and other information customarily found in such publications or marketing or promotional materials and may otherwise use the name, logos, and other insignia of any Borrower or the other Loan Parties and the Commitments provided hereunder in any “tombstone” or other advertisements, on its website or in other marketing materials of Agent.</w:t>
      </w:r>
    </w:p>
    <w:p>
      <w:pPr>
        <w:spacing w:after="0" w:line="187" w:lineRule="exact"/>
        <w:rPr>
          <w:rFonts w:ascii="Arial" w:cs="Arial" w:eastAsia="Arial" w:hAnsi="Arial"/>
          <w:sz w:val="18"/>
          <w:szCs w:val="18"/>
          <w:color w:val="010000"/>
        </w:rPr>
      </w:pPr>
    </w:p>
    <w:p>
      <w:pPr>
        <w:jc w:val="both"/>
        <w:ind w:firstLine="1304"/>
        <w:spacing w:after="0" w:line="285" w:lineRule="auto"/>
        <w:tabs>
          <w:tab w:leader="none" w:pos="2364" w:val="left"/>
        </w:tabs>
        <w:numPr>
          <w:ilvl w:val="0"/>
          <w:numId w:val="193"/>
        </w:numPr>
        <w:rPr>
          <w:rFonts w:ascii="Arial" w:cs="Arial" w:eastAsia="Arial" w:hAnsi="Arial"/>
          <w:sz w:val="16"/>
          <w:szCs w:val="16"/>
          <w:color w:val="010000"/>
        </w:rPr>
      </w:pPr>
      <w:r>
        <w:rPr>
          <w:rFonts w:ascii="Arial" w:cs="Arial" w:eastAsia="Arial" w:hAnsi="Arial"/>
          <w:sz w:val="16"/>
          <w:szCs w:val="16"/>
          <w:color w:val="auto"/>
        </w:rPr>
        <w:t>Each Loan Party agrees that Agent may make materials or information provided by or on behalf of Borrowers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available to the Lenders by posting the Communications on IntraLinks, SyndTrak or a substantially similar secure electronic transmission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The Platform is provided “as is” and “as available.” Agent does not warrant the accuracy or completeness of the Borrower Materials,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Agent in connection with the Borrower Materials or the Platform. In no event shall Agent or any of the Agent-Related Persons have any liability to the Loan Parties, any Lender or any other person for damages of any kind, including direct or indirect, special, incidental or consequential damages, losses or expenses (whether in tort, contract or otherwise) arising out of any Loan Party’s or Agent’s transmission of communications through the Internet, except to the extent the liability of such person is found in a final non-appealable judgment by a court of competent jurisdiction to have resulted from such person’s gross negligence or willful misconduct. Each Loan Party further agrees that certain of the Lenders may be “public-side” Lenders (</w:t>
      </w:r>
      <w:r>
        <w:rPr>
          <w:rFonts w:ascii="Arial" w:cs="Arial" w:eastAsia="Arial" w:hAnsi="Arial"/>
          <w:sz w:val="16"/>
          <w:szCs w:val="16"/>
          <w:i w:val="1"/>
          <w:iCs w:val="1"/>
          <w:color w:val="auto"/>
        </w:rPr>
        <w:t>i.e.</w:t>
      </w:r>
      <w:r>
        <w:rPr>
          <w:rFonts w:ascii="Arial" w:cs="Arial" w:eastAsia="Arial" w:hAnsi="Arial"/>
          <w:sz w:val="16"/>
          <w:szCs w:val="16"/>
          <w:color w:val="auto"/>
        </w:rPr>
        <w:t>, Lenders that do not wish to receive material non-public information with respect to the Loan Parties or their securities)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The Loan Parties shall be deemed to have authorized Agent and its Affiliates and the Lenders to treat Borrower Materials marked “PUBLIC” or otherwise at any time filed with the SEC as not containing any material non-public information with respect to the Loan Parties or their securities for purposes of United States federal and state securities laws. All Borrower Materials marked “PUBLIC” are permitted to be made available through a portion of the Platform designated as “Public Investor” (or another similar term). Agent and its Affiliates and the Lenders shall be entitled to treat any Borrower Materials that are not marked “PUBLIC” or that are not at any time filed with the SEC as being suitable only for posting on a portion of the Platform not marked as “Public Investor” (or such other similar term).</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17.10 </w:t>
      </w:r>
      <w:r>
        <w:rPr>
          <w:rFonts w:ascii="Arial" w:cs="Arial" w:eastAsia="Arial" w:hAnsi="Arial"/>
          <w:sz w:val="17"/>
          <w:szCs w:val="17"/>
          <w:b w:val="1"/>
          <w:bCs w:val="1"/>
          <w:u w:val="single" w:color="auto"/>
          <w:color w:val="000000"/>
        </w:rPr>
        <w:t>Survival</w:t>
      </w:r>
      <w:r>
        <w:rPr>
          <w:rFonts w:ascii="Arial" w:cs="Arial" w:eastAsia="Arial" w:hAnsi="Arial"/>
          <w:sz w:val="17"/>
          <w:szCs w:val="17"/>
          <w:color w:val="000000"/>
        </w:rPr>
        <w:t>. All representations and warranties made by the Loan Parties in the Loan Documents and in the certificates or other</w:t>
      </w:r>
      <w:r>
        <w:rPr>
          <w:rFonts w:ascii="Arial" w:cs="Arial" w:eastAsia="Arial" w:hAnsi="Arial"/>
          <w:sz w:val="17"/>
          <w:szCs w:val="17"/>
          <w:color w:val="010000"/>
        </w:rPr>
        <w:t xml:space="preserve"> </w:t>
      </w:r>
      <w:r>
        <w:rPr>
          <w:rFonts w:ascii="Arial" w:cs="Arial" w:eastAsia="Arial" w:hAnsi="Arial"/>
          <w:sz w:val="17"/>
          <w:szCs w:val="17"/>
          <w:color w:val="000000"/>
        </w:rPr>
        <w:t>instruments delivered in connection with or pursuant to this Agreement or any other Loan Document (other than any “Loan Document” as defined in the Existing Credit Agreement)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Agent, Issuing Bank,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or unpaid or any Letter of Credit is outstanding and so long as the Commitments have not expired or been terminated.</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17.11 </w:t>
      </w:r>
      <w:r>
        <w:rPr>
          <w:rFonts w:ascii="Arial" w:cs="Arial" w:eastAsia="Arial" w:hAnsi="Arial"/>
          <w:sz w:val="18"/>
          <w:szCs w:val="18"/>
          <w:b w:val="1"/>
          <w:bCs w:val="1"/>
          <w:u w:val="single" w:color="auto"/>
          <w:color w:val="000000"/>
        </w:rPr>
        <w:t>Patriot Act; Due Diligence</w:t>
      </w:r>
      <w:r>
        <w:rPr>
          <w:rFonts w:ascii="Arial" w:cs="Arial" w:eastAsia="Arial" w:hAnsi="Arial"/>
          <w:sz w:val="18"/>
          <w:szCs w:val="18"/>
          <w:color w:val="000000"/>
        </w:rPr>
        <w:t>. Each Lender that is subject to the requirements of the Patriot Act hereby notifies the Loan Parties that</w:t>
      </w:r>
      <w:r>
        <w:rPr>
          <w:rFonts w:ascii="Arial" w:cs="Arial" w:eastAsia="Arial" w:hAnsi="Arial"/>
          <w:sz w:val="18"/>
          <w:szCs w:val="18"/>
          <w:color w:val="010000"/>
        </w:rPr>
        <w:t xml:space="preserve"> </w:t>
      </w:r>
      <w:r>
        <w:rPr>
          <w:rFonts w:ascii="Arial" w:cs="Arial" w:eastAsia="Arial" w:hAnsi="Arial"/>
          <w:sz w:val="18"/>
          <w:szCs w:val="18"/>
          <w:color w:val="000000"/>
        </w:rPr>
        <w:t>pursuant to the requirements of the Patriot Act, it is required to obtain, verify and record information that identifies each Loan Party, which information includes the name and address of each Loan Party and other information that will allow such Lender to identify each Loan Party in accordance with the Patriot Act. In addition, Agent and each Lender shall have the right to periodically conduct due diligence on all Loan Parties, their senior management and key principals and legal and beneficial owners. Each Loan Party agrees to cooperate in respect of the conduct of such due diligence and further agrees that the reasonable costs and charges for any such due diligence by Agent shall constitute Lender Group Expenses hereunder and be for the account of Borrowers.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jc w:val="both"/>
        <w:ind w:firstLine="648"/>
        <w:spacing w:after="0" w:line="277" w:lineRule="auto"/>
        <w:rPr>
          <w:sz w:val="20"/>
          <w:szCs w:val="20"/>
          <w:color w:val="auto"/>
        </w:rPr>
      </w:pPr>
      <w:r>
        <w:rPr>
          <w:rFonts w:ascii="Arial" w:cs="Arial" w:eastAsia="Arial" w:hAnsi="Arial"/>
          <w:sz w:val="17"/>
          <w:szCs w:val="17"/>
          <w:color w:val="010000"/>
        </w:rPr>
        <w:t xml:space="preserve">17.12 </w:t>
      </w:r>
      <w:r>
        <w:rPr>
          <w:rFonts w:ascii="Arial" w:cs="Arial" w:eastAsia="Arial" w:hAnsi="Arial"/>
          <w:sz w:val="17"/>
          <w:szCs w:val="17"/>
          <w:b w:val="1"/>
          <w:bCs w:val="1"/>
          <w:u w:val="single" w:color="auto"/>
          <w:color w:val="000000"/>
        </w:rPr>
        <w:t>Integration</w:t>
      </w:r>
      <w:r>
        <w:rPr>
          <w:rFonts w:ascii="Arial" w:cs="Arial" w:eastAsia="Arial" w:hAnsi="Arial"/>
          <w:sz w:val="17"/>
          <w:szCs w:val="17"/>
          <w:color w:val="000000"/>
        </w:rPr>
        <w:t>. This Agreement, together with the other Loan Documents, reflects the entire understanding of the parties with respect to</w:t>
      </w:r>
      <w:r>
        <w:rPr>
          <w:rFonts w:ascii="Arial" w:cs="Arial" w:eastAsia="Arial" w:hAnsi="Arial"/>
          <w:sz w:val="17"/>
          <w:szCs w:val="17"/>
          <w:color w:val="010000"/>
        </w:rPr>
        <w:t xml:space="preserve"> </w:t>
      </w:r>
      <w:r>
        <w:rPr>
          <w:rFonts w:ascii="Arial" w:cs="Arial" w:eastAsia="Arial" w:hAnsi="Arial"/>
          <w:sz w:val="17"/>
          <w:szCs w:val="17"/>
          <w:color w:val="000000"/>
        </w:rPr>
        <w:t>the transactions contemplated hereby and shall not be contradicted or qualified by any other agreement, oral or written, before the date hereof. The foregoing to the contrary notwithstanding, all Bank Product Agreements, if any, are independent agreements governed by the written provisions of such Bank Product Agreements, which will remain in full force and effect, unaffected by any repayment, prepayments, acceleration, reduction, increase, or change in the terms of any credit extended hereunder, except as otherwise expressly provided in such Bank Product Agreement.</w:t>
      </w:r>
    </w:p>
    <w:p>
      <w:pPr>
        <w:spacing w:after="0" w:line="16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010000"/>
        </w:rPr>
        <w:t xml:space="preserve">17.13 </w:t>
      </w:r>
      <w:r>
        <w:rPr>
          <w:rFonts w:ascii="Arial" w:cs="Arial" w:eastAsia="Arial" w:hAnsi="Arial"/>
          <w:sz w:val="17"/>
          <w:szCs w:val="17"/>
          <w:b w:val="1"/>
          <w:bCs w:val="1"/>
          <w:u w:val="single" w:color="auto"/>
          <w:color w:val="000000"/>
        </w:rPr>
        <w:t>AerSale as Agent for Borrowers</w:t>
      </w:r>
      <w:r>
        <w:rPr>
          <w:rFonts w:ascii="Arial" w:cs="Arial" w:eastAsia="Arial" w:hAnsi="Arial"/>
          <w:sz w:val="17"/>
          <w:szCs w:val="17"/>
          <w:color w:val="000000"/>
        </w:rPr>
        <w:t>. Each Borrower hereby irrevocably appoints AerSale as the borrowing agent and attorney-in-fact for</w:t>
      </w:r>
      <w:r>
        <w:rPr>
          <w:rFonts w:ascii="Arial" w:cs="Arial" w:eastAsia="Arial" w:hAnsi="Arial"/>
          <w:sz w:val="17"/>
          <w:szCs w:val="17"/>
          <w:color w:val="010000"/>
        </w:rPr>
        <w:t xml:space="preserve"> </w:t>
      </w:r>
      <w:r>
        <w:rPr>
          <w:rFonts w:ascii="Arial" w:cs="Arial" w:eastAsia="Arial" w:hAnsi="Arial"/>
          <w:sz w:val="17"/>
          <w:szCs w:val="17"/>
          <w:color w:val="000000"/>
        </w:rPr>
        <w:t>all Borrowers (the “</w:t>
      </w:r>
      <w:r>
        <w:rPr>
          <w:rFonts w:ascii="Arial" w:cs="Arial" w:eastAsia="Arial" w:hAnsi="Arial"/>
          <w:sz w:val="17"/>
          <w:szCs w:val="17"/>
          <w:u w:val="single" w:color="auto"/>
          <w:color w:val="000000"/>
        </w:rPr>
        <w:t>Administrative Borrower</w:t>
      </w:r>
      <w:r>
        <w:rPr>
          <w:rFonts w:ascii="Arial" w:cs="Arial" w:eastAsia="Arial" w:hAnsi="Arial"/>
          <w:sz w:val="17"/>
          <w:szCs w:val="17"/>
          <w:color w:val="000000"/>
        </w:rPr>
        <w:t>”) which appointment shall remain in full force and effect unless and until Agent shall have received prior written notice signed by each Borrower that such appointment has been revoked and that another Borrower has been appointed Administrative Borrower. Each Borrower hereby irrevocably appoints and authorizes the Administrative Borrower (a) to provide Agent with all notices with respect to Revolving Loans and Letters of Credit obtained for the benefit of any Borrower and all other notices and instructions under this Agreement and the other Loan Documents (and any notice or instruction provided by Administrative Borrower shall be deemed to be given by Borrowers hereunder and shall bind each Borrower), (b) to receive notices and instructions from members of the Lender Group (and any notice or instruction provided by any member of the Lender Group to the Administrative Borrower in accordance with the terms hereof shall be deemed to have been given to each Borrower), (c) to enter into Bank Product Provider Agreements on behalf of Borrowers and their Subsidiaries, (d) to execute the Fee Letter on behalf of all Borrowers and (e) to take such action as the Administrative Borrower deems appropriate on its behalf to obtain Revolving Loans and Letters of Credit and to exercise such other powers as are reasonably incidental thereto to carry out the purposes of this Agreement. It is understood that the handling of the Loan Account and Collateral in a combined fashion, as more fully set forth herein, is done solely as an accommodation to Borrowers in order to utilize the collective borrowing powers of Borrowers in the most efficient and economical manner and at their request, and that Lender Group shall not incur liability to any Borrower as a result hereof. Each Borrower expects to derive benefit, directly or indirectly, from the handling of the Loan Account and the Collateral in a combined fashion since the successful operation of each Borrower is dependent on the continued successful performance of the integrated group. To induce the Lender Group to do so, and in consideration thereof, each Borrower hereby jointly and severally agrees to indemnify each member of the Lender Group and hold each member of the Lender Group harmless against any and all liability, expense, loss or claim of damage or injury, made against the Lender Group by any Borrower or by any third party whosoever, arising from or incurred by reason of (i) the handling of the Loan Account and Collateral of Borrowers as herein provided, or (ii) the Lender Group’s relying on any instructions of the Administrative Borrower</w:t>
      </w:r>
      <w:r>
        <w:rPr>
          <w:rFonts w:ascii="Arial" w:cs="Arial" w:eastAsia="Arial" w:hAnsi="Arial"/>
          <w:sz w:val="17"/>
          <w:szCs w:val="17"/>
          <w:b w:val="1"/>
          <w:bCs w:val="1"/>
          <w:i w:val="1"/>
          <w:iCs w:val="1"/>
          <w:color w:val="000000"/>
        </w:rPr>
        <w:t>,</w:t>
      </w:r>
      <w:r>
        <w:rPr>
          <w:rFonts w:ascii="Arial" w:cs="Arial" w:eastAsia="Arial" w:hAnsi="Arial"/>
          <w:sz w:val="17"/>
          <w:szCs w:val="17"/>
          <w:color w:val="000000"/>
        </w:rPr>
        <w:t xml:space="preserve"> except that Borrowers will have no liability to the relevant Agent-Related Person or Lender-Related Person under this </w:t>
      </w:r>
      <w:r>
        <w:rPr>
          <w:rFonts w:ascii="Arial" w:cs="Arial" w:eastAsia="Arial" w:hAnsi="Arial"/>
          <w:sz w:val="17"/>
          <w:szCs w:val="17"/>
          <w:u w:val="single" w:color="auto"/>
          <w:color w:val="000000"/>
        </w:rPr>
        <w:t>Section 17.13</w:t>
      </w:r>
      <w:r>
        <w:rPr>
          <w:rFonts w:ascii="Arial" w:cs="Arial" w:eastAsia="Arial" w:hAnsi="Arial"/>
          <w:sz w:val="17"/>
          <w:szCs w:val="17"/>
          <w:color w:val="000000"/>
        </w:rPr>
        <w:t xml:space="preserve"> with respect to any liability that has been finally determined by a court of competent jurisdiction to have resulted solely from the gross negligence or willful misconduct of such Agent-Related Person or Lender-Related Person, as the case may be.</w:t>
      </w:r>
    </w:p>
    <w:p>
      <w:pPr>
        <w:spacing w:after="0" w:line="18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010000"/>
        </w:rPr>
        <w:t xml:space="preserve">17.14 </w:t>
      </w:r>
      <w:r>
        <w:rPr>
          <w:rFonts w:ascii="Arial" w:cs="Arial" w:eastAsia="Arial" w:hAnsi="Arial"/>
          <w:sz w:val="17"/>
          <w:szCs w:val="17"/>
          <w:b w:val="1"/>
          <w:bCs w:val="1"/>
          <w:u w:val="single" w:color="auto"/>
          <w:color w:val="000000"/>
        </w:rPr>
        <w:t>Acknowledgement and Consent to Bail-In of EEA Financial Institutions</w:t>
      </w:r>
      <w:r>
        <w:rPr>
          <w:rFonts w:ascii="Arial" w:cs="Arial" w:eastAsia="Arial" w:hAnsi="Arial"/>
          <w:sz w:val="17"/>
          <w:szCs w:val="17"/>
          <w:color w:val="000000"/>
        </w:rPr>
        <w:t>. Notwithstanding anything to the contrary in any Loan</w:t>
      </w:r>
      <w:r>
        <w:rPr>
          <w:rFonts w:ascii="Arial" w:cs="Arial" w:eastAsia="Arial" w:hAnsi="Arial"/>
          <w:sz w:val="17"/>
          <w:szCs w:val="17"/>
          <w:color w:val="010000"/>
        </w:rPr>
        <w:t xml:space="preserve"> </w:t>
      </w:r>
      <w:r>
        <w:rPr>
          <w:rFonts w:ascii="Arial" w:cs="Arial" w:eastAsia="Arial" w:hAnsi="Arial"/>
          <w:sz w:val="17"/>
          <w:szCs w:val="17"/>
          <w:color w:val="000000"/>
        </w:rPr>
        <w:t>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ind w:firstLine="1304"/>
        <w:spacing w:after="0" w:line="277" w:lineRule="auto"/>
        <w:tabs>
          <w:tab w:leader="none" w:pos="2323" w:val="left"/>
        </w:tabs>
        <w:numPr>
          <w:ilvl w:val="0"/>
          <w:numId w:val="194"/>
        </w:numPr>
        <w:rPr>
          <w:rFonts w:ascii="Arial" w:cs="Arial" w:eastAsia="Arial" w:hAnsi="Arial"/>
          <w:sz w:val="18"/>
          <w:szCs w:val="18"/>
          <w:color w:val="010000"/>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010000"/>
        </w:rPr>
      </w:pPr>
    </w:p>
    <w:p>
      <w:pPr>
        <w:ind w:left="2240" w:hanging="936"/>
        <w:spacing w:after="0"/>
        <w:tabs>
          <w:tab w:leader="none" w:pos="2240" w:val="left"/>
        </w:tabs>
        <w:numPr>
          <w:ilvl w:val="0"/>
          <w:numId w:val="194"/>
        </w:numPr>
        <w:rPr>
          <w:rFonts w:ascii="Arial" w:cs="Arial" w:eastAsia="Arial" w:hAnsi="Arial"/>
          <w:sz w:val="18"/>
          <w:szCs w:val="18"/>
          <w:color w:val="010000"/>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010000"/>
        </w:rPr>
      </w:pPr>
    </w:p>
    <w:p>
      <w:pPr>
        <w:ind w:left="2880" w:hanging="928"/>
        <w:spacing w:after="0"/>
        <w:tabs>
          <w:tab w:leader="none" w:pos="28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firstLine="1952"/>
        <w:spacing w:after="0" w:line="311" w:lineRule="auto"/>
        <w:tabs>
          <w:tab w:leader="none" w:pos="3122"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Arial" w:cs="Arial" w:eastAsia="Arial" w:hAnsi="Arial"/>
          <w:sz w:val="16"/>
          <w:szCs w:val="16"/>
          <w:color w:val="auto"/>
        </w:rPr>
      </w:pPr>
    </w:p>
    <w:p>
      <w:pPr>
        <w:ind w:left="2860" w:hanging="908"/>
        <w:spacing w:after="0"/>
        <w:tabs>
          <w:tab w:leader="none" w:pos="286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variation of the terms of such liability in connection with the exercise of the write-down and conversion powers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any EEA Resolution Authority.</w:t>
      </w:r>
    </w:p>
    <w:p>
      <w:pPr>
        <w:spacing w:after="0" w:line="20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17.15</w:t>
      </w:r>
      <w:r>
        <w:rPr>
          <w:sz w:val="20"/>
          <w:szCs w:val="20"/>
          <w:color w:val="auto"/>
        </w:rPr>
        <w:tab/>
      </w:r>
      <w:r>
        <w:rPr>
          <w:rFonts w:ascii="Arial" w:cs="Arial" w:eastAsia="Arial" w:hAnsi="Arial"/>
          <w:sz w:val="16"/>
          <w:szCs w:val="16"/>
          <w:b w:val="1"/>
          <w:bCs w:val="1"/>
          <w:u w:val="single" w:color="auto"/>
          <w:color w:val="auto"/>
        </w:rPr>
        <w:t>Amendment and Restatement; Reallocation of the Advances and the Commitment Amounts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55" w:lineRule="auto"/>
        <w:tabs>
          <w:tab w:leader="none" w:pos="2485" w:val="left"/>
        </w:tabs>
        <w:numPr>
          <w:ilvl w:val="0"/>
          <w:numId w:val="195"/>
        </w:numPr>
        <w:rPr>
          <w:rFonts w:ascii="Arial" w:cs="Arial" w:eastAsia="Arial" w:hAnsi="Arial"/>
          <w:sz w:val="18"/>
          <w:szCs w:val="18"/>
          <w:color w:val="010000"/>
        </w:rPr>
      </w:pPr>
      <w:r>
        <w:rPr>
          <w:rFonts w:ascii="Arial" w:cs="Arial" w:eastAsia="Arial" w:hAnsi="Arial"/>
          <w:sz w:val="18"/>
          <w:szCs w:val="18"/>
          <w:u w:val="single" w:color="auto"/>
          <w:color w:val="auto"/>
        </w:rPr>
        <w:t>Amendment and Restatement</w:t>
      </w:r>
      <w:r>
        <w:rPr>
          <w:rFonts w:ascii="Arial" w:cs="Arial" w:eastAsia="Arial" w:hAnsi="Arial"/>
          <w:sz w:val="18"/>
          <w:szCs w:val="18"/>
          <w:color w:val="auto"/>
        </w:rPr>
        <w:t>. This Agreement is given in amendment, restatement, renewal and extension (but not in novation, extinguishment or satisfaction) of the Existing Credit Agreement. All Liens and security interests securing payment of the obligations under the Existing Credit Agreement are hereby collectively renewed, extended, ratified and brought forward as security for the payment and performance of the Obligations. With respect to matters relating to the period prior to the date hereof, all of the provisions of the Existing Credit Agreement, and the security agreements and other documents, instruments or agreements executed in connection therewith, are each hereby ratified and confirmed and shall remain in force and effect.</w:t>
      </w:r>
    </w:p>
    <w:p>
      <w:pPr>
        <w:spacing w:after="0" w:line="192" w:lineRule="exact"/>
        <w:rPr>
          <w:rFonts w:ascii="Arial" w:cs="Arial" w:eastAsia="Arial" w:hAnsi="Arial"/>
          <w:sz w:val="18"/>
          <w:szCs w:val="18"/>
          <w:color w:val="010000"/>
        </w:rPr>
      </w:pPr>
    </w:p>
    <w:p>
      <w:pPr>
        <w:jc w:val="both"/>
        <w:ind w:firstLine="1304"/>
        <w:spacing w:after="0" w:line="288" w:lineRule="auto"/>
        <w:tabs>
          <w:tab w:leader="none" w:pos="2266" w:val="left"/>
        </w:tabs>
        <w:numPr>
          <w:ilvl w:val="0"/>
          <w:numId w:val="195"/>
        </w:numPr>
        <w:rPr>
          <w:rFonts w:ascii="Arial" w:cs="Arial" w:eastAsia="Arial" w:hAnsi="Arial"/>
          <w:sz w:val="16"/>
          <w:szCs w:val="16"/>
          <w:color w:val="010000"/>
        </w:rPr>
      </w:pPr>
      <w:r>
        <w:rPr>
          <w:rFonts w:ascii="Arial" w:cs="Arial" w:eastAsia="Arial" w:hAnsi="Arial"/>
          <w:sz w:val="16"/>
          <w:szCs w:val="16"/>
          <w:u w:val="single" w:color="auto"/>
          <w:color w:val="auto"/>
        </w:rPr>
        <w:t>Reallocation of the Advances and the Commitment Amounts</w:t>
      </w:r>
      <w:r>
        <w:rPr>
          <w:rFonts w:ascii="Arial" w:cs="Arial" w:eastAsia="Arial" w:hAnsi="Arial"/>
          <w:sz w:val="16"/>
          <w:szCs w:val="16"/>
          <w:color w:val="auto"/>
        </w:rPr>
        <w:t xml:space="preserve">. On the Closing Date, the Lenders party to the Existing Credit Agreement shall, by assignments among them (which assignments shall be deemed to occur hereunder automatically, and without any requirement for additional documentation, on the Closing Date), acquire or dispose of a portion of the Revolving Loans, as applicable, and shall, through Agent, make such other adjustments among themselves as may be necessary so that after giving effect to such assignments and adjustments, and the Commitments of Lenders not party to the Existing Credit Agreement, all Lenders shall hold all Revolving Loans outstanding under this Agreement ratably in accordance with their respective Commitments as reflected on </w:t>
      </w:r>
      <w:r>
        <w:rPr>
          <w:rFonts w:ascii="Arial" w:cs="Arial" w:eastAsia="Arial" w:hAnsi="Arial"/>
          <w:sz w:val="16"/>
          <w:szCs w:val="16"/>
          <w:u w:val="single" w:color="auto"/>
          <w:color w:val="auto"/>
        </w:rPr>
        <w:t>Schedule C-1</w:t>
      </w:r>
      <w:r>
        <w:rPr>
          <w:rFonts w:ascii="Arial" w:cs="Arial" w:eastAsia="Arial" w:hAnsi="Arial"/>
          <w:sz w:val="16"/>
          <w:szCs w:val="16"/>
          <w:color w:val="auto"/>
        </w:rPr>
        <w:t xml:space="preserve"> hereto. On the Closing Date, all Interest Periods in respect of any LIBOR Rate Loans under the Existing Credit Agreement that were required to be assigned as set forth above shall automatically be terminated solely with respect to any such Lender that has assigned any such LIBOR Rate Loans (but not with respect to any Lender that is an assignee of any such Lender). Borrowers shall on the Closing Date, as applicable, make payments to the Lenders that held such LIBOR Rate Loans under the Existing Credit Agreement that were required to be assigned as set forth above to compensate for such termination as if such termination were a payment or prepayment referred to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5" w:name="page256"/>
    <w:bookmarkEnd w:id="255"/>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caused this Agreement to be executed and delivered as of the date first above written.</w:t>
      </w:r>
    </w:p>
    <w:p>
      <w:pPr>
        <w:spacing w:after="0" w:line="248"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b w:val="1"/>
          <w:bCs w:val="1"/>
          <w:color w:val="auto"/>
        </w:rPr>
        <w:t>BORROWERS:</w:t>
      </w:r>
      <w:r>
        <w:rPr>
          <w:sz w:val="20"/>
          <w:szCs w:val="20"/>
          <w:color w:val="auto"/>
        </w:rPr>
        <w:tab/>
      </w:r>
      <w:r>
        <w:rPr>
          <w:rFonts w:ascii="Arial" w:cs="Arial" w:eastAsia="Arial" w:hAnsi="Arial"/>
          <w:sz w:val="18"/>
          <w:szCs w:val="18"/>
          <w:b w:val="1"/>
          <w:bCs w:val="1"/>
          <w:color w:val="auto"/>
        </w:rPr>
        <w:t>AERSALE,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Nicolas Finazzo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USA 1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23440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23441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23765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24423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25212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25260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25313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25314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25417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26342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26343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26346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27094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27469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AERSALE 27910 LLC</w:t>
      </w:r>
    </w:p>
    <w:p>
      <w:pPr>
        <w:spacing w:after="0" w:line="211"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Nicolas Finazzo</w:t>
      </w:r>
    </w:p>
    <w:p>
      <w:pPr>
        <w:spacing w:after="0" w:line="23"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256" w:name="page257"/>
    <w:bookmarkEnd w:id="256"/>
    <w:p>
      <w:pPr>
        <w:ind w:left="4360"/>
        <w:spacing w:after="0"/>
        <w:rPr>
          <w:sz w:val="20"/>
          <w:szCs w:val="20"/>
          <w:color w:val="auto"/>
        </w:rPr>
      </w:pPr>
      <w:r>
        <w:rPr>
          <w:rFonts w:ascii="Arial" w:cs="Arial" w:eastAsia="Arial" w:hAnsi="Arial"/>
          <w:sz w:val="18"/>
          <w:szCs w:val="18"/>
          <w:b w:val="1"/>
          <w:bCs w:val="1"/>
          <w:color w:val="auto"/>
        </w:rPr>
        <w:t>AERSALE COMPONENT SOLUTIONS, INC.</w:t>
      </w:r>
    </w:p>
    <w:p>
      <w:pPr>
        <w:spacing w:after="0" w:line="229"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Nicolas Finazzo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448945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57" w:name="page258"/>
    <w:bookmarkEnd w:id="257"/>
    <w:p>
      <w:pPr>
        <w:ind w:left="4360"/>
        <w:spacing w:after="0"/>
        <w:rPr>
          <w:sz w:val="20"/>
          <w:szCs w:val="20"/>
          <w:color w:val="auto"/>
        </w:rPr>
      </w:pPr>
      <w:r>
        <w:rPr>
          <w:rFonts w:ascii="Arial" w:cs="Arial" w:eastAsia="Arial" w:hAnsi="Arial"/>
          <w:sz w:val="18"/>
          <w:szCs w:val="18"/>
          <w:color w:val="auto"/>
        </w:rPr>
        <w:t>Signed as a deed for and on behalf of</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 xml:space="preserve">AERSALE AVIATION LIMITED, </w:t>
      </w:r>
      <w:r>
        <w:rPr>
          <w:rFonts w:ascii="Arial" w:cs="Arial" w:eastAsia="Arial" w:hAnsi="Arial"/>
          <w:sz w:val="18"/>
          <w:szCs w:val="18"/>
          <w:color w:val="auto"/>
        </w:rPr>
        <w:t>in the presence of:</w:t>
      </w:r>
    </w:p>
    <w:p>
      <w:pPr>
        <w:spacing w:after="0" w:line="211"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Nicolas Finazzo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Attorney in Fact</w:t>
            </w:r>
          </w:p>
        </w:tc>
      </w:tr>
    </w:tbl>
    <w:p>
      <w:pPr>
        <w:spacing w:after="0" w:line="20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14605</wp:posOffset>
            </wp:positionV>
            <wp:extent cx="365188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14605</wp:posOffset>
            </wp:positionV>
            <wp:extent cx="365188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6832 Mindello Street, Coral Gables, FL 33146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14605</wp:posOffset>
            </wp:positionV>
            <wp:extent cx="365188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VP Legal &amp; Senior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14605</wp:posOffset>
            </wp:positionV>
            <wp:extent cx="365188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7">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Occupation</w:t>
      </w:r>
    </w:p>
    <w:p>
      <w:pPr>
        <w:spacing w:after="0" w:line="2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Signed as a deed for and on behalf of</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 xml:space="preserve">AERSALE 25362 AVIATION LIMITED, </w:t>
      </w:r>
      <w:r>
        <w:rPr>
          <w:rFonts w:ascii="Arial" w:cs="Arial" w:eastAsia="Arial" w:hAnsi="Arial"/>
          <w:sz w:val="18"/>
          <w:szCs w:val="18"/>
          <w:color w:val="auto"/>
        </w:rPr>
        <w:t>in the presence of:</w:t>
      </w:r>
    </w:p>
    <w:p>
      <w:pPr>
        <w:spacing w:after="0" w:line="211"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Nicolas Finazzo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Attorney in Fact</w:t>
            </w:r>
          </w:p>
        </w:tc>
      </w:tr>
    </w:tbl>
    <w:p>
      <w:pPr>
        <w:spacing w:after="0" w:line="20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14605</wp:posOffset>
            </wp:positionV>
            <wp:extent cx="365188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8">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14605</wp:posOffset>
            </wp:positionV>
            <wp:extent cx="365188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6832 Mindello Street, Coral Gables, FL 33146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14605</wp:posOffset>
            </wp:positionV>
            <wp:extent cx="365188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VP Legal &amp; Senior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14605</wp:posOffset>
            </wp:positionV>
            <wp:extent cx="365188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Occupation</w:t>
      </w: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448945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8" w:name="page259"/>
    <w:bookmarkEnd w:id="258"/>
    <w:p>
      <w:pPr>
        <w:ind w:left="4360"/>
        <w:spacing w:after="0"/>
        <w:rPr>
          <w:sz w:val="20"/>
          <w:szCs w:val="20"/>
          <w:color w:val="auto"/>
        </w:rPr>
      </w:pPr>
      <w:r>
        <w:rPr>
          <w:rFonts w:ascii="Arial" w:cs="Arial" w:eastAsia="Arial" w:hAnsi="Arial"/>
          <w:sz w:val="18"/>
          <w:szCs w:val="18"/>
          <w:color w:val="auto"/>
        </w:rPr>
        <w:t>Signed as a deed for and on behalf of</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 xml:space="preserve">AERSALE 25430 AVIATION LIMITED, </w:t>
      </w:r>
      <w:r>
        <w:rPr>
          <w:rFonts w:ascii="Arial" w:cs="Arial" w:eastAsia="Arial" w:hAnsi="Arial"/>
          <w:sz w:val="18"/>
          <w:szCs w:val="18"/>
          <w:color w:val="auto"/>
        </w:rPr>
        <w:t>in the presence of:</w:t>
      </w:r>
    </w:p>
    <w:p>
      <w:pPr>
        <w:spacing w:after="0" w:line="211"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Nicolas Finazzo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Attorney in Fact</w:t>
            </w:r>
          </w:p>
        </w:tc>
      </w:tr>
    </w:tbl>
    <w:p>
      <w:pPr>
        <w:spacing w:after="0" w:line="20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14605</wp:posOffset>
            </wp:positionV>
            <wp:extent cx="365188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14605</wp:posOffset>
            </wp:positionV>
            <wp:extent cx="365188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6832 Mindello Street, Coral Gables, FL 33146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14605</wp:posOffset>
            </wp:positionV>
            <wp:extent cx="36518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VP Legal &amp; Senior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14605</wp:posOffset>
            </wp:positionV>
            <wp:extent cx="365188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Occupation</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Signed as a deed for and on behalf of</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 xml:space="preserve">AERSALE 27469 AVIATION LIMITED, </w:t>
      </w:r>
      <w:r>
        <w:rPr>
          <w:rFonts w:ascii="Arial" w:cs="Arial" w:eastAsia="Arial" w:hAnsi="Arial"/>
          <w:sz w:val="18"/>
          <w:szCs w:val="18"/>
          <w:color w:val="auto"/>
        </w:rPr>
        <w:t>in the presence of:</w:t>
      </w:r>
    </w:p>
    <w:p>
      <w:pPr>
        <w:spacing w:after="0" w:line="211" w:lineRule="exact"/>
        <w:rPr>
          <w:sz w:val="20"/>
          <w:szCs w:val="20"/>
          <w:color w:val="auto"/>
        </w:rPr>
      </w:pPr>
    </w:p>
    <w:tbl>
      <w:tblPr>
        <w:tblLayout w:type="fixed"/>
        <w:tblInd w:w="4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Nicolas Finazzo</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Attorney in Fact</w:t>
            </w:r>
          </w:p>
        </w:tc>
      </w:tr>
    </w:tbl>
    <w:p>
      <w:pPr>
        <w:spacing w:after="0" w:line="20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 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6832 Mindello Street, Coral Gables, FL 33146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VP Legal &amp; Senior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0">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Occupation</w:t>
      </w: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448945</wp:posOffset>
            </wp:positionV>
            <wp:extent cx="71323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9" w:name="page260"/>
    <w:bookmarkEnd w:id="259"/>
    <w:p>
      <w:pPr>
        <w:ind w:left="4340"/>
        <w:spacing w:after="0"/>
        <w:rPr>
          <w:sz w:val="20"/>
          <w:szCs w:val="20"/>
          <w:color w:val="auto"/>
        </w:rPr>
      </w:pPr>
      <w:r>
        <w:rPr>
          <w:rFonts w:ascii="Arial" w:cs="Arial" w:eastAsia="Arial" w:hAnsi="Arial"/>
          <w:sz w:val="18"/>
          <w:szCs w:val="18"/>
          <w:color w:val="auto"/>
        </w:rPr>
        <w:t>Signed as a deed for and on behalf of</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 xml:space="preserve">AERSALE 27910 AVIATION LIMITED, </w:t>
      </w:r>
      <w:r>
        <w:rPr>
          <w:rFonts w:ascii="Arial" w:cs="Arial" w:eastAsia="Arial" w:hAnsi="Arial"/>
          <w:sz w:val="18"/>
          <w:szCs w:val="18"/>
          <w:color w:val="auto"/>
        </w:rPr>
        <w:t>in the presence of:</w:t>
      </w:r>
    </w:p>
    <w:p>
      <w:pPr>
        <w:spacing w:after="0" w:line="211" w:lineRule="exact"/>
        <w:rPr>
          <w:sz w:val="20"/>
          <w:szCs w:val="20"/>
          <w:color w:val="auto"/>
        </w:rPr>
      </w:pPr>
    </w:p>
    <w:tbl>
      <w:tblPr>
        <w:tblLayout w:type="fixed"/>
        <w:tblInd w:w="4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Nicolas Finazzo</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Attorney in Fact</w:t>
            </w:r>
          </w:p>
        </w:tc>
      </w:tr>
    </w:tbl>
    <w:p>
      <w:pPr>
        <w:spacing w:after="0" w:line="20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 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6832 Mindello Street, Coral Gables, FL 33146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4">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VP Legal &amp; Senior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5">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Occupation</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Signed as a deed for and on behalf of</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 xml:space="preserve">AERSALE 28149 AVIATION LIMITED, </w:t>
      </w:r>
      <w:r>
        <w:rPr>
          <w:rFonts w:ascii="Arial" w:cs="Arial" w:eastAsia="Arial" w:hAnsi="Arial"/>
          <w:sz w:val="18"/>
          <w:szCs w:val="18"/>
          <w:color w:val="auto"/>
        </w:rPr>
        <w:t>in the presence of:</w:t>
      </w:r>
    </w:p>
    <w:p>
      <w:pPr>
        <w:spacing w:after="0" w:line="211" w:lineRule="exact"/>
        <w:rPr>
          <w:sz w:val="20"/>
          <w:szCs w:val="20"/>
          <w:color w:val="auto"/>
        </w:rPr>
      </w:pPr>
    </w:p>
    <w:tbl>
      <w:tblPr>
        <w:tblLayout w:type="fixed"/>
        <w:tblInd w:w="4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Nicolas Finazzo</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Attorney in Fact</w:t>
            </w:r>
          </w:p>
        </w:tc>
      </w:tr>
    </w:tbl>
    <w:p>
      <w:pPr>
        <w:spacing w:after="0" w:line="20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 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6">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7">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6832 Mindello Street, Coral Gables, FL 33146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8">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VP Legal &amp; Senior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9">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Occupation</w:t>
      </w: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448945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0" w:name="page261"/>
    <w:bookmarkEnd w:id="260"/>
    <w:p>
      <w:pPr>
        <w:ind w:left="4340"/>
        <w:spacing w:after="0"/>
        <w:rPr>
          <w:sz w:val="20"/>
          <w:szCs w:val="20"/>
          <w:color w:val="auto"/>
        </w:rPr>
      </w:pPr>
      <w:r>
        <w:rPr>
          <w:rFonts w:ascii="Arial" w:cs="Arial" w:eastAsia="Arial" w:hAnsi="Arial"/>
          <w:sz w:val="18"/>
          <w:szCs w:val="18"/>
          <w:color w:val="auto"/>
        </w:rPr>
        <w:t>Signed as a deed for and on behalf of</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 xml:space="preserve">CORAL GABLES 1 LIMITED, </w:t>
      </w:r>
      <w:r>
        <w:rPr>
          <w:rFonts w:ascii="Arial" w:cs="Arial" w:eastAsia="Arial" w:hAnsi="Arial"/>
          <w:sz w:val="18"/>
          <w:szCs w:val="18"/>
          <w:color w:val="auto"/>
        </w:rPr>
        <w:t>in the presence of:</w:t>
      </w:r>
    </w:p>
    <w:p>
      <w:pPr>
        <w:spacing w:after="0" w:line="211" w:lineRule="exact"/>
        <w:rPr>
          <w:sz w:val="20"/>
          <w:szCs w:val="20"/>
          <w:color w:val="auto"/>
        </w:rPr>
      </w:pPr>
    </w:p>
    <w:tbl>
      <w:tblPr>
        <w:tblLayout w:type="fixed"/>
        <w:tblInd w:w="4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Nicolas Finazzo</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Attorney in Fact</w:t>
            </w:r>
          </w:p>
        </w:tc>
      </w:tr>
    </w:tbl>
    <w:p>
      <w:pPr>
        <w:spacing w:after="0" w:line="20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 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1">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2">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6832 Mindello Street, Coral Gables, FL 33146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3">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VP Legal &amp; Senior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4">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Occupation</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Signed as a deed for and on behalf of</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 xml:space="preserve">CORAL GABLES 2 LIMITED, </w:t>
      </w:r>
      <w:r>
        <w:rPr>
          <w:rFonts w:ascii="Arial" w:cs="Arial" w:eastAsia="Arial" w:hAnsi="Arial"/>
          <w:sz w:val="18"/>
          <w:szCs w:val="18"/>
          <w:color w:val="auto"/>
        </w:rPr>
        <w:t>in the presence of:</w:t>
      </w:r>
    </w:p>
    <w:p>
      <w:pPr>
        <w:spacing w:after="0" w:line="211" w:lineRule="exact"/>
        <w:rPr>
          <w:sz w:val="20"/>
          <w:szCs w:val="20"/>
          <w:color w:val="auto"/>
        </w:rPr>
      </w:pPr>
    </w:p>
    <w:tbl>
      <w:tblPr>
        <w:tblLayout w:type="fixed"/>
        <w:tblInd w:w="4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Nicolas Finazzo</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Attorney in Fact</w:t>
            </w:r>
          </w:p>
        </w:tc>
      </w:tr>
    </w:tbl>
    <w:p>
      <w:pPr>
        <w:spacing w:after="0" w:line="20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 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5">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Robyn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6">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6832 Mindello Street, Coral Gables, FL 33146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7">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VP Legal &amp; Senior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14605</wp:posOffset>
            </wp:positionV>
            <wp:extent cx="36690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8">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Occupation</w:t>
      </w: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448945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color w:val="auto"/>
        </w:rPr>
        <w:t>PARENT:</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AERSALE HOLDINGS, INC.</w:t>
      </w:r>
    </w:p>
    <w:p>
      <w:pPr>
        <w:spacing w:after="0" w:line="229" w:lineRule="exact"/>
        <w:rPr>
          <w:sz w:val="20"/>
          <w:szCs w:val="20"/>
          <w:color w:val="auto"/>
        </w:rPr>
      </w:pPr>
    </w:p>
    <w:tbl>
      <w:tblPr>
        <w:tblLayout w:type="fixed"/>
        <w:tblInd w:w="55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Nicolas Finazzo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ind w:left="4420"/>
        <w:spacing w:after="0"/>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 national banking association,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as Agent, Lead Arranger, Book Runner and as a Lender</w:t>
      </w:r>
    </w:p>
    <w:p>
      <w:pPr>
        <w:spacing w:after="0" w:line="211"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Ply</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Nicholas Ply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448945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63" w:name="page264"/>
    <w:bookmarkEnd w:id="263"/>
    <w:p>
      <w:pPr>
        <w:ind w:left="4480"/>
        <w:spacing w:after="0"/>
        <w:rPr>
          <w:sz w:val="20"/>
          <w:szCs w:val="20"/>
          <w:color w:val="auto"/>
        </w:rPr>
      </w:pPr>
      <w:r>
        <w:rPr>
          <w:rFonts w:ascii="Arial" w:cs="Arial" w:eastAsia="Arial" w:hAnsi="Arial"/>
          <w:sz w:val="18"/>
          <w:szCs w:val="18"/>
          <w:b w:val="1"/>
          <w:bCs w:val="1"/>
          <w:color w:val="auto"/>
        </w:rPr>
        <w:t>WELLS FARGO CAPITAL FINANCE (UK) LIMITED</w:t>
      </w:r>
      <w:r>
        <w:rPr>
          <w:rFonts w:ascii="Arial" w:cs="Arial" w:eastAsia="Arial" w:hAnsi="Arial"/>
          <w:sz w:val="18"/>
          <w:szCs w:val="18"/>
          <w:color w:val="auto"/>
        </w:rPr>
        <w:t>,</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480"/>
        <w:spacing w:after="0"/>
        <w:tabs>
          <w:tab w:leader="none" w:pos="4940" w:val="left"/>
        </w:tabs>
        <w:rPr>
          <w:sz w:val="20"/>
          <w:szCs w:val="20"/>
          <w:color w:val="auto"/>
        </w:rPr>
      </w:pPr>
      <w:r>
        <w:rPr>
          <w:rFonts w:ascii="Arial" w:cs="Arial" w:eastAsia="Arial" w:hAnsi="Arial"/>
          <w:sz w:val="18"/>
          <w:szCs w:val="18"/>
          <w:color w:val="auto"/>
        </w:rPr>
        <w:t>By:</w:t>
        <w:tab/>
        <w:t>/s/ Tania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Name:Tania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480"/>
        <w:spacing w:after="0"/>
        <w:tabs>
          <w:tab w:leader="none" w:pos="4940" w:val="left"/>
        </w:tabs>
        <w:rPr>
          <w:sz w:val="20"/>
          <w:szCs w:val="20"/>
          <w:color w:val="auto"/>
        </w:rPr>
      </w:pPr>
      <w:r>
        <w:rPr>
          <w:rFonts w:ascii="Arial" w:cs="Arial" w:eastAsia="Arial" w:hAnsi="Arial"/>
          <w:sz w:val="18"/>
          <w:szCs w:val="18"/>
          <w:color w:val="auto"/>
        </w:rPr>
        <w:t>By:</w:t>
        <w:tab/>
        <w:t>/s/ Nigel Hogg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Name:Nigel Hogg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448945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64" w:name="page265"/>
    <w:bookmarkEnd w:id="264"/>
    <w:p>
      <w:pPr>
        <w:ind w:left="4480"/>
        <w:spacing w:after="0"/>
        <w:rPr>
          <w:sz w:val="20"/>
          <w:szCs w:val="20"/>
          <w:color w:val="auto"/>
        </w:rPr>
      </w:pPr>
      <w:r>
        <w:rPr>
          <w:rFonts w:ascii="Arial" w:cs="Arial" w:eastAsia="Arial" w:hAnsi="Arial"/>
          <w:sz w:val="18"/>
          <w:szCs w:val="18"/>
          <w:b w:val="1"/>
          <w:bCs w:val="1"/>
          <w:color w:val="auto"/>
        </w:rPr>
        <w:t>BANKUNITED, N.A.,</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480"/>
        <w:spacing w:after="0"/>
        <w:tabs>
          <w:tab w:leader="none" w:pos="4940" w:val="left"/>
        </w:tabs>
        <w:rPr>
          <w:sz w:val="20"/>
          <w:szCs w:val="20"/>
          <w:color w:val="auto"/>
        </w:rPr>
      </w:pPr>
      <w:r>
        <w:rPr>
          <w:rFonts w:ascii="Arial" w:cs="Arial" w:eastAsia="Arial" w:hAnsi="Arial"/>
          <w:sz w:val="18"/>
          <w:szCs w:val="18"/>
          <w:color w:val="auto"/>
        </w:rPr>
        <w:t>By:</w:t>
        <w:tab/>
        <w:t>/s/ Charles J. Klenk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Name:Charles J. Klenk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29210</wp:posOffset>
            </wp:positionV>
            <wp:extent cx="327469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448945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265" w:name="page266"/>
    <w:bookmarkEnd w:id="265"/>
    <w:p>
      <w:pPr>
        <w:ind w:left="4480"/>
        <w:spacing w:after="0"/>
        <w:rPr>
          <w:sz w:val="20"/>
          <w:szCs w:val="20"/>
          <w:color w:val="auto"/>
        </w:rPr>
      </w:pPr>
      <w:r>
        <w:rPr>
          <w:rFonts w:ascii="Arial" w:cs="Arial" w:eastAsia="Arial" w:hAnsi="Arial"/>
          <w:sz w:val="18"/>
          <w:szCs w:val="18"/>
          <w:b w:val="1"/>
          <w:bCs w:val="1"/>
          <w:color w:val="auto"/>
        </w:rPr>
        <w:t>CITY NATIONAL BANK OF FLORIDA,</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480"/>
        <w:spacing w:after="0"/>
        <w:tabs>
          <w:tab w:leader="none" w:pos="4940" w:val="left"/>
        </w:tabs>
        <w:rPr>
          <w:sz w:val="20"/>
          <w:szCs w:val="20"/>
          <w:color w:val="auto"/>
        </w:rPr>
      </w:pPr>
      <w:r>
        <w:rPr>
          <w:rFonts w:ascii="Arial" w:cs="Arial" w:eastAsia="Arial" w:hAnsi="Arial"/>
          <w:sz w:val="18"/>
          <w:szCs w:val="18"/>
          <w:color w:val="auto"/>
        </w:rPr>
        <w:t>By:</w:t>
        <w:tab/>
        <w:t>/s/ Tyler Kurau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Name:Tyler Kurau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448945</wp:posOffset>
            </wp:positionV>
            <wp:extent cx="71323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66" w:name="page267"/>
    <w:bookmarkEnd w:id="266"/>
    <w:p>
      <w:pPr>
        <w:ind w:left="4480"/>
        <w:spacing w:after="0"/>
        <w:rPr>
          <w:sz w:val="20"/>
          <w:szCs w:val="20"/>
          <w:color w:val="auto"/>
        </w:rPr>
      </w:pPr>
      <w:r>
        <w:rPr>
          <w:rFonts w:ascii="Arial" w:cs="Arial" w:eastAsia="Arial" w:hAnsi="Arial"/>
          <w:sz w:val="17"/>
          <w:szCs w:val="17"/>
          <w:b w:val="1"/>
          <w:bCs w:val="1"/>
          <w:color w:val="auto"/>
        </w:rPr>
        <w:t>PNC BANK, NATIONAL ASSOCIATION,</w:t>
      </w:r>
    </w:p>
    <w:p>
      <w:pPr>
        <w:spacing w:after="0" w:line="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480"/>
        <w:spacing w:after="0"/>
        <w:tabs>
          <w:tab w:leader="none" w:pos="4940" w:val="left"/>
        </w:tabs>
        <w:rPr>
          <w:sz w:val="20"/>
          <w:szCs w:val="20"/>
          <w:color w:val="auto"/>
        </w:rPr>
      </w:pPr>
      <w:r>
        <w:rPr>
          <w:rFonts w:ascii="Arial" w:cs="Arial" w:eastAsia="Arial" w:hAnsi="Arial"/>
          <w:sz w:val="18"/>
          <w:szCs w:val="18"/>
          <w:color w:val="auto"/>
        </w:rPr>
        <w:t>By:</w:t>
        <w:tab/>
        <w:t>/s/ Victor Cortes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Name:Victor Cortes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AVP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448945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67" w:name="page268"/>
    <w:bookmarkEnd w:id="267"/>
    <w:p>
      <w:pPr>
        <w:ind w:left="10220"/>
        <w:spacing w:after="0"/>
        <w:rPr>
          <w:sz w:val="20"/>
          <w:szCs w:val="20"/>
          <w:color w:val="auto"/>
        </w:rPr>
      </w:pPr>
      <w:r>
        <w:rPr>
          <w:rFonts w:ascii="Arial" w:cs="Arial" w:eastAsia="Arial" w:hAnsi="Arial"/>
          <w:sz w:val="16"/>
          <w:szCs w:val="16"/>
          <w:b w:val="1"/>
          <w:bCs w:val="1"/>
          <w:color w:val="auto"/>
        </w:rPr>
        <w:t>Exhibit 10.23</w:t>
      </w:r>
    </w:p>
    <w:p>
      <w:pPr>
        <w:spacing w:after="0" w:line="24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AMENDMENT No. 1 dated as of September 8, 2020 (this “</w:t>
      </w: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to the Amended and Restated Credit Agreement dated as of July 20, 2018 (as amended, modified or otherwise supplemented through the date hereof, the “</w:t>
      </w:r>
      <w:r>
        <w:rPr>
          <w:rFonts w:ascii="Arial" w:cs="Arial" w:eastAsia="Arial" w:hAnsi="Arial"/>
          <w:sz w:val="16"/>
          <w:szCs w:val="16"/>
          <w:b w:val="1"/>
          <w:bCs w:val="1"/>
          <w:u w:val="single" w:color="auto"/>
          <w:color w:val="auto"/>
        </w:rPr>
        <w:t>Credit Agreement</w:t>
      </w:r>
      <w:r>
        <w:rPr>
          <w:rFonts w:ascii="Arial" w:cs="Arial" w:eastAsia="Arial" w:hAnsi="Arial"/>
          <w:sz w:val="16"/>
          <w:szCs w:val="16"/>
          <w:color w:val="auto"/>
        </w:rPr>
        <w:t>”), by and among AERSALE, INC., a Florida corporation, AERSALE USA 1 LLC, a Delaware limited liability company, AERSALE 23440 LLC, a Delaware limited liability company, AERSALE 23441 LLC, a Delaware limited liability company, AERSALE 23765 LLC, a Delaware limited liability company, AERSALE 24423 LLC, a Delaware limited liability company, AERSALE 25212 LLC, a Delaware limited liability company, AERSALE 25260 LLC, a Delaware limited liability company, AERSALE 25313 LLC, a Delaware limited liability company, AERSALE 25314 LLC, a Delaware limited liability company, AERSALE 25417 LLC, a Delaware limited liability company, AERSALE 26342 LLC, a Delaware limited liability company, AERSALE 26343 LLC, a Delaware limited liability company, AERSALE 26346 LLC, a Delaware limited liability company, AERSALE 27094 LLC, a Delaware limited liability company, AERSALE 27469 LLC, a Delaware limited liability company, AERSALE 27910 LLC, a Delaware limited liability company, AERSALE COMPONENT SOLUTIONS, INC., a New Mexico corporation, AERSALE AVIATION LIMITED, an Irish private company limited by shares, AERSALE 25362 AVIATION LIMITED, an Irish private company limited by shares, AERSALE 25430 AVIATION LIMITED, an Irish private company limited by shares, AERSALE 27469 AVIATION LIMITED, an Irish private company limited by shares, AERSALE 27910 AVIATION LIMITED, an Irish private company limited by shares, AERSALE 28149 AVIATION LIMITED, an Irish private company limited by shares, CORAL GABLES 1 LIMITED, an Irish private company limited by shares, CORAL GABLES 2 LIMITED, an Irish private company limited by shares, AVBORNE ACCESSORY GROUP, INC., a Delaware corporation,</w:t>
      </w:r>
    </w:p>
    <w:p>
      <w:pPr>
        <w:spacing w:after="0" w:line="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BANK OF UTAH, NOT IN ITS INDIVIDUAL CAPACITY BUT SOLELY AS OWNER TRUSTEE UNDER THE AIRCRAFT MSN 24125 TRUST, AERSALE USA 2 SUB LLC, a Delaware limited liability company, QWEST AIR PARTS, INC., a Florida corporation, Q2 AVIATION LLC, a Tennessee limited liability company, and AIRCRAFT COMPOSITE TECHNOLOGIES, INC., a Florida corporation (each a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Borrowers</w:t>
      </w:r>
      <w:r>
        <w:rPr>
          <w:rFonts w:ascii="Arial" w:cs="Arial" w:eastAsia="Arial" w:hAnsi="Arial"/>
          <w:sz w:val="18"/>
          <w:szCs w:val="18"/>
          <w:color w:val="auto"/>
        </w:rPr>
        <w:t>”), AERSALE CORP., a Delaware corporation formerly known as AerSale Holdings, Inc. (“</w:t>
      </w:r>
      <w:r>
        <w:rPr>
          <w:rFonts w:ascii="Arial" w:cs="Arial" w:eastAsia="Arial" w:hAnsi="Arial"/>
          <w:sz w:val="18"/>
          <w:szCs w:val="18"/>
          <w:b w:val="1"/>
          <w:bCs w:val="1"/>
          <w:u w:val="single" w:color="auto"/>
          <w:color w:val="auto"/>
        </w:rPr>
        <w:t>Guarantor</w:t>
      </w:r>
      <w:r>
        <w:rPr>
          <w:rFonts w:ascii="Arial" w:cs="Arial" w:eastAsia="Arial" w:hAnsi="Arial"/>
          <w:sz w:val="18"/>
          <w:szCs w:val="18"/>
          <w:color w:val="auto"/>
        </w:rPr>
        <w:t>” and together with the Borrowers, each a “</w:t>
      </w:r>
      <w:r>
        <w:rPr>
          <w:rFonts w:ascii="Arial" w:cs="Arial" w:eastAsia="Arial" w:hAnsi="Arial"/>
          <w:sz w:val="18"/>
          <w:szCs w:val="18"/>
          <w:b w:val="1"/>
          <w:bCs w:val="1"/>
          <w:u w:val="single" w:color="auto"/>
          <w:color w:val="auto"/>
        </w:rPr>
        <w:t>Loan Party</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Loan Parties</w:t>
      </w:r>
      <w:r>
        <w:rPr>
          <w:rFonts w:ascii="Arial" w:cs="Arial" w:eastAsia="Arial" w:hAnsi="Arial"/>
          <w:sz w:val="18"/>
          <w:szCs w:val="18"/>
          <w:color w:val="auto"/>
        </w:rPr>
        <w:t>”), the Lenders signatory hereto, and WELLS FARGO BANK, NATIONAL ASSOCIATION, as Administrative Agent and Lender (the “</w:t>
      </w:r>
      <w:r>
        <w:rPr>
          <w:rFonts w:ascii="Arial" w:cs="Arial" w:eastAsia="Arial" w:hAnsi="Arial"/>
          <w:sz w:val="18"/>
          <w:szCs w:val="18"/>
          <w:b w:val="1"/>
          <w:bCs w:val="1"/>
          <w:u w:val="single" w:color="auto"/>
          <w:color w:val="auto"/>
        </w:rPr>
        <w:t>Agent</w:t>
      </w:r>
      <w:r>
        <w:rPr>
          <w:rFonts w:ascii="Arial" w:cs="Arial" w:eastAsia="Arial" w:hAnsi="Arial"/>
          <w:sz w:val="18"/>
          <w:szCs w:val="18"/>
          <w:color w:val="auto"/>
        </w:rPr>
        <w:t>”). Capitalized terms used herein and not otherwise defined shall have the respective meanings ascribed thereto in the Credit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Borrowers, Guarantor, Agent and the Lenders signatory thereto are parties to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Borrowers request that the Agent and the Lenders agree to make certain amendments to the Credit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the amendments contemplated in this Amendment to be effective, Section 14.1(a) of the Credit Agreement requires the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Required Lenders;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Lenders signatory hereto constitute Required Lenders under the Credit Agreement; 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[AerSale]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8" w:name="page269"/>
    <w:bookmarkEnd w:id="268"/>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Agent and the Required Lenders are willing to agree to such amendments, on the terms and subject to the conditions set forth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the sum of $1.00 and other good and valuable consideration, the receipt and sufficiency</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are hereby acknowledged, the parties hereto agree as follows:</w:t>
      </w:r>
    </w:p>
    <w:p>
      <w:pPr>
        <w:spacing w:after="0" w:line="16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010000"/>
        </w:rPr>
        <w:t>Section 1:</w:t>
      </w:r>
      <w:r>
        <w:rPr>
          <w:sz w:val="20"/>
          <w:szCs w:val="20"/>
          <w:color w:val="auto"/>
        </w:rPr>
        <w:tab/>
      </w:r>
      <w:r>
        <w:rPr>
          <w:rFonts w:ascii="Arial" w:cs="Arial" w:eastAsia="Arial" w:hAnsi="Arial"/>
          <w:sz w:val="16"/>
          <w:szCs w:val="16"/>
          <w:u w:val="single" w:color="auto"/>
          <w:color w:val="auto"/>
        </w:rPr>
        <w:t>Amendments to Credit Agreement</w:t>
      </w:r>
      <w:r>
        <w:rPr>
          <w:rFonts w:ascii="Arial" w:cs="Arial" w:eastAsia="Arial" w:hAnsi="Arial"/>
          <w:sz w:val="16"/>
          <w:szCs w:val="16"/>
          <w:color w:val="auto"/>
        </w:rPr>
        <w:t>.</w:t>
      </w:r>
    </w:p>
    <w:p>
      <w:pPr>
        <w:spacing w:after="0" w:line="225" w:lineRule="exact"/>
        <w:rPr>
          <w:sz w:val="20"/>
          <w:szCs w:val="20"/>
          <w:color w:val="auto"/>
        </w:rPr>
      </w:pPr>
    </w:p>
    <w:p>
      <w:pPr>
        <w:ind w:left="1360" w:hanging="704"/>
        <w:spacing w:after="0"/>
        <w:tabs>
          <w:tab w:leader="none" w:pos="1360" w:val="left"/>
        </w:tabs>
        <w:numPr>
          <w:ilvl w:val="0"/>
          <w:numId w:val="196"/>
        </w:numPr>
        <w:rPr>
          <w:rFonts w:ascii="Arial" w:cs="Arial" w:eastAsia="Arial" w:hAnsi="Arial"/>
          <w:sz w:val="18"/>
          <w:szCs w:val="18"/>
          <w:color w:val="010000"/>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the Credit Agreement is hereby amended by inserting the following definitions in proper alphabetical order:</w:t>
      </w:r>
    </w:p>
    <w:p>
      <w:pPr>
        <w:spacing w:after="0" w:line="225"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w:t>
      </w:r>
      <w:r>
        <w:rPr>
          <w:rFonts w:ascii="Arial" w:cs="Arial" w:eastAsia="Arial" w:hAnsi="Arial"/>
          <w:sz w:val="18"/>
          <w:szCs w:val="18"/>
          <w:color w:val="auto"/>
        </w:rPr>
        <w:t>” means that certain Amendment No. 1 to Amended and Restated Credit Agreement, dated as of September 8, 2020, by and among the Loan Parties and the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means September 8, 2020.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Monocle Merger</w:t>
      </w:r>
      <w:r>
        <w:rPr>
          <w:rFonts w:ascii="Arial" w:cs="Arial" w:eastAsia="Arial" w:hAnsi="Arial"/>
          <w:sz w:val="18"/>
          <w:szCs w:val="18"/>
          <w:color w:val="auto"/>
        </w:rPr>
        <w:t>” means the merger transactions contemplated by the Monocle Merger Agreement.</w:t>
      </w:r>
    </w:p>
    <w:p>
      <w:pPr>
        <w:spacing w:after="0" w:line="225"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Monocle Merger Agreement</w:t>
      </w:r>
      <w:r>
        <w:rPr>
          <w:rFonts w:ascii="Arial" w:cs="Arial" w:eastAsia="Arial" w:hAnsi="Arial"/>
          <w:sz w:val="17"/>
          <w:szCs w:val="17"/>
          <w:color w:val="auto"/>
        </w:rPr>
        <w:t>” means that certain Amended and Restated Agreement and Plan of Merger, dated as of September 8, 2020, by and among Monocle Acquisition Corporation, a Delaware corporation, Monocle Holdings Inc., a Delaware corporation, Monocle Merger Sub 1 Inc., a Delaware corporation, Monocle Merger Sub 2 LLC, a Delaware limited liability company, Parent, and Leonard Green &amp; Partners, L.P., a Delaware limited partnership, as in effect on the First Amendment Effective Date (or as may be amended, restated, amended and restated, supplemented or otherwise modified from time to time in accordance with the terms of the First Amendment).</w:t>
      </w:r>
    </w:p>
    <w:p>
      <w:pPr>
        <w:spacing w:after="0" w:line="176"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Monocle Merger Documentation</w:t>
      </w:r>
      <w:r>
        <w:rPr>
          <w:rFonts w:ascii="Arial" w:cs="Arial" w:eastAsia="Arial" w:hAnsi="Arial"/>
          <w:sz w:val="18"/>
          <w:szCs w:val="18"/>
          <w:color w:val="auto"/>
        </w:rPr>
        <w:t>” means, collectively, the Monocle Merger Agreement and all schedules, exhibits and annexes thereto and all side letters and agreements affecting the terms thereof and entered into in connection therewith, in each case, as in effect on the First Amendment Effective Date (or, in each case, as may be amended, restated, amended and restated, supplemented or otherwise modified from time to time in accordance with the terms of the First Amendment).</w:t>
      </w:r>
    </w:p>
    <w:p>
      <w:pPr>
        <w:spacing w:after="0" w:line="187" w:lineRule="exact"/>
        <w:rPr>
          <w:sz w:val="20"/>
          <w:szCs w:val="20"/>
          <w:color w:val="auto"/>
        </w:rPr>
      </w:pPr>
    </w:p>
    <w:p>
      <w:pPr>
        <w:ind w:left="1600" w:hanging="944"/>
        <w:spacing w:after="0"/>
        <w:tabs>
          <w:tab w:leader="none" w:pos="1600" w:val="left"/>
        </w:tabs>
        <w:numPr>
          <w:ilvl w:val="0"/>
          <w:numId w:val="197"/>
        </w:numPr>
        <w:rPr>
          <w:rFonts w:ascii="Arial" w:cs="Arial" w:eastAsia="Arial" w:hAnsi="Arial"/>
          <w:sz w:val="17"/>
          <w:szCs w:val="17"/>
          <w:color w:val="010000"/>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the Credit Agreement is hereby amended by deleting the definition of “Change of Control” and replacing it with the</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following:</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that:</w:t>
      </w:r>
    </w:p>
    <w:p>
      <w:pPr>
        <w:spacing w:after="0" w:line="225" w:lineRule="exact"/>
        <w:rPr>
          <w:sz w:val="20"/>
          <w:szCs w:val="20"/>
          <w:color w:val="auto"/>
        </w:rPr>
      </w:pPr>
    </w:p>
    <w:p>
      <w:pPr>
        <w:ind w:left="1820" w:hanging="516"/>
        <w:spacing w:after="0"/>
        <w:tabs>
          <w:tab w:leader="none" w:pos="18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prior to the effectiveness of the Monocle Merger</w:t>
      </w:r>
    </w:p>
    <w:p>
      <w:pPr>
        <w:spacing w:after="0" w:line="225" w:lineRule="exact"/>
        <w:rPr>
          <w:rFonts w:ascii="Arial" w:cs="Arial" w:eastAsia="Arial" w:hAnsi="Arial"/>
          <w:sz w:val="18"/>
          <w:szCs w:val="18"/>
          <w:color w:val="auto"/>
        </w:rPr>
      </w:pPr>
    </w:p>
    <w:p>
      <w:pPr>
        <w:jc w:val="both"/>
        <w:ind w:left="1300" w:right="660" w:firstLine="652"/>
        <w:spacing w:after="0" w:line="279" w:lineRule="auto"/>
        <w:tabs>
          <w:tab w:leader="none" w:pos="2462" w:val="left"/>
        </w:tabs>
        <w:numPr>
          <w:ilvl w:val="1"/>
          <w:numId w:val="198"/>
        </w:numPr>
        <w:rPr>
          <w:rFonts w:ascii="Arial" w:cs="Arial" w:eastAsia="Arial" w:hAnsi="Arial"/>
          <w:sz w:val="17"/>
          <w:szCs w:val="17"/>
          <w:color w:val="auto"/>
        </w:rPr>
      </w:pPr>
      <w:r>
        <w:rPr>
          <w:rFonts w:ascii="Arial" w:cs="Arial" w:eastAsia="Arial" w:hAnsi="Arial"/>
          <w:sz w:val="17"/>
          <w:szCs w:val="17"/>
          <w:color w:val="auto"/>
        </w:rPr>
        <w:t>prior to a Qualifying IPO, Permitted Holders fail to own and control, directly or indirectly, 51%, or more, of the Equity Interests of Parent entitled (without regard to the occurrence of any contingency) to vote for the election of members of the Board of Directors of Parent, to be determined on a fully diluted basis and taking into account any outstanding Equity Interests or contract rights exercisable, exchangeable or convertible into Equity Interests,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9" w:name="page270"/>
    <w:bookmarkEnd w:id="269"/>
    <w:p>
      <w:pPr>
        <w:jc w:val="both"/>
        <w:ind w:left="644" w:right="660" w:firstLine="652"/>
        <w:spacing w:after="0" w:line="255" w:lineRule="auto"/>
        <w:tabs>
          <w:tab w:leader="none" w:pos="185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on or after a Qualifying IPO, any “person” or “group” (within the meaning of Sections 13(d) and 14(d) of the Exchange Act), other than Permitted Holders, becomes the beneficial owner (as defined in Rule 13d-3 under the Exchange Act), directly or indirectly, of 20%, or more, of the Equity Interests of Parent entitled (without regard to the occurrence of any contingency) to vote for the election of members of the Board of Directors of Parent, to be determined on a fully diluted basis and taking into account any outstanding Equity Interests or contract rights exercisable, exchangeable or convertible into Equity Interests,</w:t>
      </w:r>
    </w:p>
    <w:p>
      <w:pPr>
        <w:spacing w:after="0" w:line="192" w:lineRule="exact"/>
        <w:rPr>
          <w:rFonts w:ascii="Arial" w:cs="Arial" w:eastAsia="Arial" w:hAnsi="Arial"/>
          <w:sz w:val="18"/>
          <w:szCs w:val="18"/>
          <w:color w:val="auto"/>
        </w:rPr>
      </w:pPr>
    </w:p>
    <w:p>
      <w:pPr>
        <w:jc w:val="both"/>
        <w:ind w:left="4" w:right="660" w:firstLine="644"/>
        <w:spacing w:after="0" w:line="254" w:lineRule="auto"/>
        <w:tabs>
          <w:tab w:leader="none" w:pos="1211" w:val="left"/>
        </w:tabs>
        <w:numPr>
          <w:ilvl w:val="1"/>
          <w:numId w:val="200"/>
        </w:numPr>
        <w:rPr>
          <w:rFonts w:ascii="Arial" w:cs="Arial" w:eastAsia="Arial" w:hAnsi="Arial"/>
          <w:sz w:val="18"/>
          <w:szCs w:val="18"/>
          <w:color w:val="auto"/>
        </w:rPr>
      </w:pPr>
      <w:r>
        <w:rPr>
          <w:rFonts w:ascii="Arial" w:cs="Arial" w:eastAsia="Arial" w:hAnsi="Arial"/>
          <w:sz w:val="18"/>
          <w:szCs w:val="18"/>
          <w:color w:val="auto"/>
        </w:rPr>
        <w:t>upon and after the effectiveness of the Monocle Merger: any “person” or “group” (within the meaning of Sections 13(d) and 14(d) of the Exchange Act), excluding (x) any employee benefit plan of such Person or its Subsidiaries, and any Person acting in its capacity as a trustee, agent or other fiduciary or administrator of any such plan and (y) the Permitted Holders, becomes the “beneficial owner” (as defined in Rule 13d-3 under the Exchange Act), directly or indirectly, of 35% or more of the Equity Interests of Parent entitled (without regard to the occurrence of any contingency) to vote for the election of members of the Board of Directors of Parent, to be determined on a fully diluted basis and taking into account any outstanding Equity Interests or contract rights exercisable, exchangeable or convertible into Equity Interests, or</w:t>
      </w:r>
    </w:p>
    <w:p>
      <w:pPr>
        <w:spacing w:after="0" w:line="194" w:lineRule="exact"/>
        <w:rPr>
          <w:rFonts w:ascii="Arial" w:cs="Arial" w:eastAsia="Arial" w:hAnsi="Arial"/>
          <w:sz w:val="18"/>
          <w:szCs w:val="18"/>
          <w:color w:val="auto"/>
        </w:rPr>
      </w:pPr>
    </w:p>
    <w:p>
      <w:pPr>
        <w:jc w:val="both"/>
        <w:ind w:left="4" w:right="640" w:firstLine="644"/>
        <w:spacing w:after="0" w:line="286" w:lineRule="auto"/>
        <w:tabs>
          <w:tab w:leader="none" w:pos="1216" w:val="left"/>
        </w:tabs>
        <w:numPr>
          <w:ilvl w:val="1"/>
          <w:numId w:val="200"/>
        </w:numPr>
        <w:rPr>
          <w:rFonts w:ascii="Arial" w:cs="Arial" w:eastAsia="Arial" w:hAnsi="Arial"/>
          <w:sz w:val="17"/>
          <w:szCs w:val="17"/>
          <w:color w:val="auto"/>
        </w:rPr>
      </w:pPr>
      <w:r>
        <w:rPr>
          <w:rFonts w:ascii="Arial" w:cs="Arial" w:eastAsia="Arial" w:hAnsi="Arial"/>
          <w:sz w:val="17"/>
          <w:szCs w:val="17"/>
          <w:color w:val="auto"/>
        </w:rPr>
        <w:t xml:space="preserve">Parent fails to own and control, directly or indirectly, 100% of the Equity Interests of each other Loan Party (other than pursuant to a disposition of 100% of the Equity Interests of a Loan Party permitted in accordance with the provisions of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of this Agreement which results in such Person being released as a Loan Party in accordance with this Agreement).”</w:t>
      </w:r>
    </w:p>
    <w:p>
      <w:pPr>
        <w:spacing w:after="0" w:line="165" w:lineRule="exact"/>
        <w:rPr>
          <w:rFonts w:ascii="Arial" w:cs="Arial" w:eastAsia="Arial" w:hAnsi="Arial"/>
          <w:sz w:val="17"/>
          <w:szCs w:val="17"/>
          <w:color w:val="auto"/>
        </w:rPr>
      </w:pPr>
    </w:p>
    <w:p>
      <w:pPr>
        <w:ind w:left="724" w:hanging="724"/>
        <w:spacing w:after="0" w:line="406" w:lineRule="auto"/>
        <w:tabs>
          <w:tab w:leader="none" w:pos="729" w:val="left"/>
        </w:tabs>
        <w:numPr>
          <w:ilvl w:val="0"/>
          <w:numId w:val="201"/>
        </w:numPr>
        <w:rPr>
          <w:rFonts w:ascii="Arial" w:cs="Arial" w:eastAsia="Arial" w:hAnsi="Arial"/>
          <w:sz w:val="17"/>
          <w:szCs w:val="17"/>
          <w:color w:val="010000"/>
        </w:rPr>
      </w:pP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of the Credit Agreement is hereby amended by deleting such section in its entirety and replacing it with the following: “6.14 </w:t>
      </w:r>
      <w:r>
        <w:rPr>
          <w:rFonts w:ascii="Arial" w:cs="Arial" w:eastAsia="Arial" w:hAnsi="Arial"/>
          <w:sz w:val="17"/>
          <w:szCs w:val="17"/>
          <w:b w:val="1"/>
          <w:bCs w:val="1"/>
          <w:u w:val="single" w:color="auto"/>
          <w:color w:val="auto"/>
        </w:rPr>
        <w:t>Parent as Holding Company</w:t>
      </w:r>
      <w:r>
        <w:rPr>
          <w:rFonts w:ascii="Arial" w:cs="Arial" w:eastAsia="Arial" w:hAnsi="Arial"/>
          <w:sz w:val="17"/>
          <w:szCs w:val="17"/>
          <w:color w:val="auto"/>
        </w:rPr>
        <w:t>. Parent will not incur any liabilities (other than liabilities arising under the Loan Documents),</w:t>
      </w:r>
    </w:p>
    <w:p>
      <w:pPr>
        <w:spacing w:after="0" w:line="1" w:lineRule="exact"/>
        <w:rPr>
          <w:sz w:val="20"/>
          <w:szCs w:val="20"/>
          <w:color w:val="auto"/>
        </w:rPr>
      </w:pPr>
    </w:p>
    <w:p>
      <w:pPr>
        <w:jc w:val="both"/>
        <w:ind w:left="84"/>
        <w:spacing w:after="0" w:line="253" w:lineRule="auto"/>
        <w:rPr>
          <w:sz w:val="20"/>
          <w:szCs w:val="20"/>
          <w:color w:val="auto"/>
        </w:rPr>
      </w:pPr>
      <w:r>
        <w:rPr>
          <w:rFonts w:ascii="Arial" w:cs="Arial" w:eastAsia="Arial" w:hAnsi="Arial"/>
          <w:sz w:val="18"/>
          <w:szCs w:val="18"/>
          <w:color w:val="auto"/>
        </w:rPr>
        <w:t xml:space="preserve">own or acquire any assets (other than the Equity Interests of AerSale) or engage itself in any operations or business, except in connection with its ownership of AerSale and its rights and obligations under the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Section 6.14 shall not apply to any (x) liabilities incurred, (y) assets owned or acquired or (z) operations or business engaged in, in each case, pursuant to the Monocle Merger Documentation.”</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70" w:name="page271"/>
    <w:bookmarkEnd w:id="270"/>
    <w:p>
      <w:pPr>
        <w:spacing w:after="0"/>
        <w:tabs>
          <w:tab w:leader="none" w:pos="1380" w:val="left"/>
        </w:tabs>
        <w:rPr>
          <w:sz w:val="20"/>
          <w:szCs w:val="20"/>
          <w:color w:val="auto"/>
        </w:rPr>
      </w:pPr>
      <w:r>
        <w:rPr>
          <w:rFonts w:ascii="Arial" w:cs="Arial" w:eastAsia="Arial" w:hAnsi="Arial"/>
          <w:sz w:val="18"/>
          <w:szCs w:val="18"/>
          <w:color w:val="010000"/>
        </w:rPr>
        <w:t>Section 2:</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Loan Parties hereby represent and warrant to the Agent and the Required Lenders as follows:</w:t>
      </w:r>
    </w:p>
    <w:p>
      <w:pPr>
        <w:spacing w:after="0" w:line="225" w:lineRule="exact"/>
        <w:rPr>
          <w:sz w:val="20"/>
          <w:szCs w:val="20"/>
          <w:color w:val="auto"/>
        </w:rPr>
      </w:pPr>
    </w:p>
    <w:p>
      <w:pPr>
        <w:ind w:left="2140" w:hanging="836"/>
        <w:spacing w:after="0"/>
        <w:tabs>
          <w:tab w:leader="none" w:pos="2140" w:val="left"/>
        </w:tabs>
        <w:numPr>
          <w:ilvl w:val="0"/>
          <w:numId w:val="202"/>
        </w:numPr>
        <w:rPr>
          <w:rFonts w:ascii="Arial" w:cs="Arial" w:eastAsia="Arial" w:hAnsi="Arial"/>
          <w:sz w:val="18"/>
          <w:szCs w:val="18"/>
          <w:color w:val="010000"/>
        </w:rPr>
      </w:pPr>
      <w:r>
        <w:rPr>
          <w:rFonts w:ascii="Arial" w:cs="Arial" w:eastAsia="Arial" w:hAnsi="Arial"/>
          <w:sz w:val="18"/>
          <w:szCs w:val="18"/>
          <w:color w:val="auto"/>
        </w:rPr>
        <w:t>After giving effect to this Amendment, no Default or Event of Default has occurred and is continuing.</w:t>
      </w:r>
    </w:p>
    <w:p>
      <w:pPr>
        <w:spacing w:after="0" w:line="225" w:lineRule="exact"/>
        <w:rPr>
          <w:rFonts w:ascii="Arial" w:cs="Arial" w:eastAsia="Arial" w:hAnsi="Arial"/>
          <w:sz w:val="18"/>
          <w:szCs w:val="18"/>
          <w:color w:val="010000"/>
        </w:rPr>
      </w:pPr>
    </w:p>
    <w:p>
      <w:pPr>
        <w:jc w:val="both"/>
        <w:ind w:left="660" w:firstLine="644"/>
        <w:spacing w:after="0" w:line="290" w:lineRule="auto"/>
        <w:tabs>
          <w:tab w:leader="none" w:pos="2153" w:val="left"/>
        </w:tabs>
        <w:numPr>
          <w:ilvl w:val="0"/>
          <w:numId w:val="202"/>
        </w:numPr>
        <w:rPr>
          <w:rFonts w:ascii="Arial" w:cs="Arial" w:eastAsia="Arial" w:hAnsi="Arial"/>
          <w:sz w:val="16"/>
          <w:szCs w:val="16"/>
          <w:color w:val="010000"/>
        </w:rPr>
      </w:pPr>
      <w:r>
        <w:rPr>
          <w:rFonts w:ascii="Arial" w:cs="Arial" w:eastAsia="Arial" w:hAnsi="Arial"/>
          <w:sz w:val="16"/>
          <w:szCs w:val="16"/>
          <w:color w:val="auto"/>
        </w:rPr>
        <w:t>The execution, delivery and performance by each of the Loan Parties of this Amendment are within the scope of its corporate or other organizational power, and have been duly authorized by all necessary corporate or organizational action, and no material authorizations, approvals or consents of, and no filings or registrations with, any governmental or regulatory authority or agency are necessary for the execution or delivery of this Amendment or for the validity or enforceability hereof except for those which been duly obtained, made or complied with prior to the date hereof. The Credit Agreement, as amended by this Amendment, constitutes the legal, valid and binding obligations of each Loan Party, enforceable against it in accordance with its terms, except as such enforceability may be limited by (i) bankruptcy, insolvency, examinership, reorganization, moratorium or other similar laws of general applicability affecting the enforcement of creditors’ rights and (ii) the application of general principles of equity (regardless of whether such enforceability is considered in a proceeding in equity or at law).</w:t>
      </w:r>
    </w:p>
    <w:p>
      <w:pPr>
        <w:spacing w:after="0" w:line="165" w:lineRule="exact"/>
        <w:rPr>
          <w:rFonts w:ascii="Arial" w:cs="Arial" w:eastAsia="Arial" w:hAnsi="Arial"/>
          <w:sz w:val="16"/>
          <w:szCs w:val="16"/>
          <w:color w:val="010000"/>
        </w:rPr>
      </w:pPr>
    </w:p>
    <w:p>
      <w:pPr>
        <w:ind w:left="2160" w:hanging="856"/>
        <w:spacing w:after="0"/>
        <w:tabs>
          <w:tab w:leader="none" w:pos="2160" w:val="left"/>
        </w:tabs>
        <w:numPr>
          <w:ilvl w:val="0"/>
          <w:numId w:val="202"/>
        </w:numPr>
        <w:rPr>
          <w:rFonts w:ascii="Arial" w:cs="Arial" w:eastAsia="Arial" w:hAnsi="Arial"/>
          <w:sz w:val="17"/>
          <w:szCs w:val="17"/>
          <w:color w:val="010000"/>
        </w:rPr>
      </w:pPr>
      <w:r>
        <w:rPr>
          <w:rFonts w:ascii="Arial" w:cs="Arial" w:eastAsia="Arial" w:hAnsi="Arial"/>
          <w:sz w:val="17"/>
          <w:szCs w:val="17"/>
          <w:color w:val="auto"/>
        </w:rPr>
        <w:t>The persons executing this Amendment are duly authorized to execute this Amendment and bind each Loan Party.</w:t>
      </w:r>
    </w:p>
    <w:p>
      <w:pPr>
        <w:spacing w:after="0" w:line="236" w:lineRule="exact"/>
        <w:rPr>
          <w:rFonts w:ascii="Arial" w:cs="Arial" w:eastAsia="Arial" w:hAnsi="Arial"/>
          <w:sz w:val="17"/>
          <w:szCs w:val="17"/>
          <w:color w:val="010000"/>
        </w:rPr>
      </w:pPr>
    </w:p>
    <w:p>
      <w:pPr>
        <w:jc w:val="both"/>
        <w:ind w:left="660" w:firstLine="644"/>
        <w:spacing w:after="0" w:line="263" w:lineRule="auto"/>
        <w:tabs>
          <w:tab w:leader="none" w:pos="2287" w:val="left"/>
        </w:tabs>
        <w:numPr>
          <w:ilvl w:val="0"/>
          <w:numId w:val="202"/>
        </w:numPr>
        <w:rPr>
          <w:rFonts w:ascii="Arial" w:cs="Arial" w:eastAsia="Arial" w:hAnsi="Arial"/>
          <w:sz w:val="18"/>
          <w:szCs w:val="18"/>
          <w:color w:val="010000"/>
        </w:rPr>
      </w:pPr>
      <w:r>
        <w:rPr>
          <w:rFonts w:ascii="Arial" w:cs="Arial" w:eastAsia="Arial" w:hAnsi="Arial"/>
          <w:sz w:val="18"/>
          <w:szCs w:val="18"/>
          <w:color w:val="auto"/>
        </w:rPr>
        <w:t>All representations and warranties of each Loan Party contained in the Credit Agreement and those set forth herein (other than the representations or warranties expressly made only on and as of the Closing Date) are true and correct in all material respects on and as of the date hereof with the same force and effect as if made on and as of the date hereof.</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010000"/>
        </w:rPr>
        <w:t xml:space="preserve">Section 3: </w:t>
      </w:r>
      <w:r>
        <w:rPr>
          <w:rFonts w:ascii="Arial" w:cs="Arial" w:eastAsia="Arial" w:hAnsi="Arial"/>
          <w:sz w:val="18"/>
          <w:szCs w:val="18"/>
          <w:u w:val="single" w:color="auto"/>
          <w:color w:val="000000"/>
        </w:rPr>
        <w:t>No Other Amendments or Waivers; Confirmation</w:t>
      </w:r>
      <w:r>
        <w:rPr>
          <w:rFonts w:ascii="Arial" w:cs="Arial" w:eastAsia="Arial" w:hAnsi="Arial"/>
          <w:sz w:val="18"/>
          <w:szCs w:val="18"/>
          <w:color w:val="000000"/>
        </w:rPr>
        <w:t>. Except as expressly amended hereby, the provisions of the Credit Agreement are and</w:t>
      </w:r>
      <w:r>
        <w:rPr>
          <w:rFonts w:ascii="Arial" w:cs="Arial" w:eastAsia="Arial" w:hAnsi="Arial"/>
          <w:sz w:val="18"/>
          <w:szCs w:val="18"/>
          <w:color w:val="010000"/>
        </w:rPr>
        <w:t xml:space="preserve"> </w:t>
      </w:r>
      <w:r>
        <w:rPr>
          <w:rFonts w:ascii="Arial" w:cs="Arial" w:eastAsia="Arial" w:hAnsi="Arial"/>
          <w:sz w:val="18"/>
          <w:szCs w:val="18"/>
          <w:color w:val="000000"/>
        </w:rPr>
        <w:t>shall remain in full force and effect without modification or waiver.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010000"/>
        </w:rPr>
        <w:t xml:space="preserve">Section 4: </w:t>
      </w:r>
      <w:r>
        <w:rPr>
          <w:rFonts w:ascii="Arial" w:cs="Arial" w:eastAsia="Arial" w:hAnsi="Arial"/>
          <w:sz w:val="17"/>
          <w:szCs w:val="17"/>
          <w:u w:val="single" w:color="auto"/>
          <w:color w:val="000000"/>
        </w:rPr>
        <w:t>Effectiveness</w:t>
      </w:r>
      <w:r>
        <w:rPr>
          <w:rFonts w:ascii="Arial" w:cs="Arial" w:eastAsia="Arial" w:hAnsi="Arial"/>
          <w:sz w:val="17"/>
          <w:szCs w:val="17"/>
          <w:color w:val="000000"/>
        </w:rPr>
        <w:t>. The effectiveness of this Amendment shall occur upon the satisfaction of the conditions listed below. Further, no Lender</w:t>
      </w:r>
      <w:r>
        <w:rPr>
          <w:rFonts w:ascii="Arial" w:cs="Arial" w:eastAsia="Arial" w:hAnsi="Arial"/>
          <w:sz w:val="17"/>
          <w:szCs w:val="17"/>
          <w:color w:val="010000"/>
        </w:rPr>
        <w:t xml:space="preserve"> </w:t>
      </w:r>
      <w:r>
        <w:rPr>
          <w:rFonts w:ascii="Arial" w:cs="Arial" w:eastAsia="Arial" w:hAnsi="Arial"/>
          <w:sz w:val="17"/>
          <w:szCs w:val="17"/>
          <w:color w:val="000000"/>
        </w:rPr>
        <w:t>shall be obligated to make any advance or Loan, or to take, fulfill, or perform any other action hereunder, until the following conditions have been satisfied or provided for in a manner described below or reasonably satisfactory to, or waived in writing by, Agent and Required Lenders:</w:t>
      </w:r>
    </w:p>
    <w:p>
      <w:pPr>
        <w:spacing w:after="0" w:line="165" w:lineRule="exact"/>
        <w:rPr>
          <w:sz w:val="20"/>
          <w:szCs w:val="20"/>
          <w:color w:val="auto"/>
        </w:rPr>
      </w:pPr>
    </w:p>
    <w:p>
      <w:pPr>
        <w:ind w:firstLine="656"/>
        <w:spacing w:after="0" w:line="277" w:lineRule="auto"/>
        <w:tabs>
          <w:tab w:leader="none" w:pos="1442" w:val="left"/>
        </w:tabs>
        <w:numPr>
          <w:ilvl w:val="0"/>
          <w:numId w:val="203"/>
        </w:numPr>
        <w:rPr>
          <w:rFonts w:ascii="Arial" w:cs="Arial" w:eastAsia="Arial" w:hAnsi="Arial"/>
          <w:sz w:val="18"/>
          <w:szCs w:val="18"/>
          <w:color w:val="010000"/>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Amendment, or counterparts hereof shall have been duly executed by Agent, the Required Lenders, each Borrower and Guarantor, and delivered to Agent together with, where applicable, affidavits of execution outside of Florida.</w:t>
      </w:r>
    </w:p>
    <w:p>
      <w:pPr>
        <w:spacing w:after="0" w:line="170" w:lineRule="exact"/>
        <w:rPr>
          <w:rFonts w:ascii="Arial" w:cs="Arial" w:eastAsia="Arial" w:hAnsi="Arial"/>
          <w:sz w:val="18"/>
          <w:szCs w:val="18"/>
          <w:color w:val="010000"/>
        </w:rPr>
      </w:pPr>
    </w:p>
    <w:p>
      <w:pPr>
        <w:ind w:left="1400" w:hanging="744"/>
        <w:spacing w:after="0"/>
        <w:tabs>
          <w:tab w:leader="none" w:pos="1400" w:val="left"/>
        </w:tabs>
        <w:numPr>
          <w:ilvl w:val="0"/>
          <w:numId w:val="203"/>
        </w:numPr>
        <w:rPr>
          <w:rFonts w:ascii="Arial" w:cs="Arial" w:eastAsia="Arial" w:hAnsi="Arial"/>
          <w:sz w:val="18"/>
          <w:szCs w:val="18"/>
          <w:color w:val="010000"/>
        </w:rPr>
      </w:pPr>
      <w:r>
        <w:rPr>
          <w:rFonts w:ascii="Arial" w:cs="Arial" w:eastAsia="Arial" w:hAnsi="Arial"/>
          <w:sz w:val="18"/>
          <w:szCs w:val="18"/>
          <w:u w:val="single" w:color="auto"/>
          <w:color w:val="auto"/>
        </w:rPr>
        <w:t>Monocle Merger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2140" w:hanging="836"/>
        <w:spacing w:after="0"/>
        <w:tabs>
          <w:tab w:leader="none" w:pos="2140" w:val="left"/>
        </w:tabs>
        <w:numPr>
          <w:ilvl w:val="1"/>
          <w:numId w:val="203"/>
        </w:numPr>
        <w:rPr>
          <w:rFonts w:ascii="Arial" w:cs="Arial" w:eastAsia="Arial" w:hAnsi="Arial"/>
          <w:sz w:val="18"/>
          <w:szCs w:val="18"/>
          <w:color w:val="010000"/>
        </w:rPr>
      </w:pPr>
      <w:r>
        <w:rPr>
          <w:rFonts w:ascii="Arial" w:cs="Arial" w:eastAsia="Arial" w:hAnsi="Arial"/>
          <w:sz w:val="18"/>
          <w:szCs w:val="18"/>
          <w:color w:val="auto"/>
        </w:rPr>
        <w:t>Agent shall have received and been satisfied with its review of:</w:t>
      </w:r>
    </w:p>
    <w:p>
      <w:pPr>
        <w:spacing w:after="0" w:line="225" w:lineRule="exact"/>
        <w:rPr>
          <w:rFonts w:ascii="Arial" w:cs="Arial" w:eastAsia="Arial" w:hAnsi="Arial"/>
          <w:sz w:val="18"/>
          <w:szCs w:val="18"/>
          <w:color w:val="010000"/>
        </w:rPr>
      </w:pPr>
    </w:p>
    <w:p>
      <w:pPr>
        <w:jc w:val="both"/>
        <w:ind w:left="2600" w:hanging="648"/>
        <w:spacing w:after="0" w:line="257" w:lineRule="auto"/>
        <w:tabs>
          <w:tab w:leader="none" w:pos="2600" w:val="left"/>
        </w:tabs>
        <w:numPr>
          <w:ilvl w:val="2"/>
          <w:numId w:val="203"/>
        </w:numPr>
        <w:rPr>
          <w:rFonts w:ascii="Arial" w:cs="Arial" w:eastAsia="Arial" w:hAnsi="Arial"/>
          <w:sz w:val="18"/>
          <w:szCs w:val="18"/>
          <w:color w:val="010000"/>
        </w:rPr>
      </w:pPr>
      <w:r>
        <w:rPr>
          <w:rFonts w:ascii="Arial" w:cs="Arial" w:eastAsia="Arial" w:hAnsi="Arial"/>
          <w:sz w:val="18"/>
          <w:szCs w:val="18"/>
          <w:color w:val="auto"/>
        </w:rPr>
        <w:t>that certain Amended and Restated Agreement and Plan of Merger, dated as of September [ ● ], 2020, by and among Monocle Acquisition Corporation, a Delaware corporation, Monocle Holdings Inc., a Delaware corporation, Monocle Merger Sub 1 Inc., a Delaware corporation, Monocle Merger Sub 2 LLC, a Delaware limited liability company, Guarantor, and Leonard Green &amp; Partners, L.P., a Delaware limited partnership, as delivered to the Agent on or prior to the date hereof (the “</w:t>
      </w:r>
      <w:r>
        <w:rPr>
          <w:rFonts w:ascii="Arial" w:cs="Arial" w:eastAsia="Arial" w:hAnsi="Arial"/>
          <w:sz w:val="18"/>
          <w:szCs w:val="18"/>
          <w:u w:val="single" w:color="auto"/>
          <w:color w:val="auto"/>
        </w:rPr>
        <w:t>Monocle Merger Agreement</w:t>
      </w:r>
      <w:r>
        <w:rPr>
          <w:rFonts w:ascii="Arial" w:cs="Arial" w:eastAsia="Arial" w:hAnsi="Arial"/>
          <w:sz w:val="18"/>
          <w:szCs w:val="18"/>
          <w:color w:val="auto"/>
        </w:rPr>
        <w:t>”);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1" w:name="page272"/>
    <w:bookmarkEnd w:id="271"/>
    <w:p>
      <w:pPr>
        <w:jc w:val="both"/>
        <w:ind w:left="2600" w:hanging="648"/>
        <w:spacing w:after="0" w:line="259" w:lineRule="auto"/>
        <w:tabs>
          <w:tab w:leader="none" w:pos="2600" w:val="left"/>
        </w:tabs>
        <w:numPr>
          <w:ilvl w:val="2"/>
          <w:numId w:val="204"/>
        </w:numPr>
        <w:rPr>
          <w:rFonts w:ascii="Arial" w:cs="Arial" w:eastAsia="Arial" w:hAnsi="Arial"/>
          <w:sz w:val="18"/>
          <w:szCs w:val="18"/>
          <w:color w:val="010000"/>
        </w:rPr>
      </w:pPr>
      <w:r>
        <w:rPr>
          <w:rFonts w:ascii="Arial" w:cs="Arial" w:eastAsia="Arial" w:hAnsi="Arial"/>
          <w:sz w:val="18"/>
          <w:szCs w:val="18"/>
          <w:color w:val="auto"/>
        </w:rPr>
        <w:t>all schedules, exhibits and annexes to the Monocle Merger Agreement and all side letters and agreements affecting the terms thereof and entered into in connection therewith, in each case, as delivered to the Agent on or prior to the date hereof (all such schedules, exhibits, annexes, side letters and agreements, together with the Monocle Merger Agreement, the “</w:t>
      </w:r>
      <w:r>
        <w:rPr>
          <w:rFonts w:ascii="Arial" w:cs="Arial" w:eastAsia="Arial" w:hAnsi="Arial"/>
          <w:sz w:val="18"/>
          <w:szCs w:val="18"/>
          <w:u w:val="single" w:color="auto"/>
          <w:color w:val="auto"/>
        </w:rPr>
        <w:t>Monocle Merger Documentation</w:t>
      </w:r>
      <w:r>
        <w:rPr>
          <w:rFonts w:ascii="Arial" w:cs="Arial" w:eastAsia="Arial" w:hAnsi="Arial"/>
          <w:sz w:val="18"/>
          <w:szCs w:val="18"/>
          <w:color w:val="auto"/>
        </w:rPr>
        <w:t>”).</w:t>
      </w:r>
    </w:p>
    <w:p>
      <w:pPr>
        <w:spacing w:after="0" w:line="186" w:lineRule="exact"/>
        <w:rPr>
          <w:rFonts w:ascii="Arial" w:cs="Arial" w:eastAsia="Arial" w:hAnsi="Arial"/>
          <w:sz w:val="18"/>
          <w:szCs w:val="18"/>
          <w:color w:val="010000"/>
        </w:rPr>
      </w:pPr>
    </w:p>
    <w:p>
      <w:pPr>
        <w:jc w:val="both"/>
        <w:ind w:left="660" w:firstLine="644"/>
        <w:spacing w:after="0" w:line="275" w:lineRule="auto"/>
        <w:tabs>
          <w:tab w:leader="none" w:pos="2279" w:val="left"/>
        </w:tabs>
        <w:numPr>
          <w:ilvl w:val="1"/>
          <w:numId w:val="205"/>
        </w:numPr>
        <w:rPr>
          <w:rFonts w:ascii="Arial" w:cs="Arial" w:eastAsia="Arial" w:hAnsi="Arial"/>
          <w:sz w:val="17"/>
          <w:szCs w:val="17"/>
          <w:color w:val="010000"/>
        </w:rPr>
      </w:pPr>
      <w:r>
        <w:rPr>
          <w:rFonts w:ascii="Arial" w:cs="Arial" w:eastAsia="Arial" w:hAnsi="Arial"/>
          <w:sz w:val="17"/>
          <w:szCs w:val="17"/>
          <w:color w:val="auto"/>
        </w:rPr>
        <w:t>Agent shall have received satisfactory evidence that except as has been disclosed to the Agent prior to the date hereof, the form of Monocle Merger Agreement and other Monocle Merger Documentation previously delivered to the Agent have not been, and shall not be, amended, amended and restated, supplemented, otherwise modified or waived (whether pursuant to the Loan Parties’ consent or otherwise) in a manner that is materially adverse to the interests of the Lenders in their respective capacities as such, without the consent of the Agent and the Required Lenders (such consent not to be unreasonably withheld, conditioned or delayed).</w:t>
      </w:r>
    </w:p>
    <w:p>
      <w:pPr>
        <w:spacing w:after="0" w:line="176" w:lineRule="exact"/>
        <w:rPr>
          <w:rFonts w:ascii="Arial" w:cs="Arial" w:eastAsia="Arial" w:hAnsi="Arial"/>
          <w:sz w:val="17"/>
          <w:szCs w:val="17"/>
          <w:color w:val="010000"/>
        </w:rPr>
      </w:pPr>
    </w:p>
    <w:p>
      <w:pPr>
        <w:ind w:left="1440" w:hanging="784"/>
        <w:spacing w:after="0"/>
        <w:tabs>
          <w:tab w:leader="none" w:pos="1440" w:val="left"/>
        </w:tabs>
        <w:numPr>
          <w:ilvl w:val="0"/>
          <w:numId w:val="206"/>
        </w:numPr>
        <w:rPr>
          <w:rFonts w:ascii="Arial" w:cs="Arial" w:eastAsia="Arial" w:hAnsi="Arial"/>
          <w:sz w:val="16"/>
          <w:szCs w:val="16"/>
          <w:color w:val="010000"/>
        </w:rPr>
      </w:pPr>
      <w:r>
        <w:rPr>
          <w:rFonts w:ascii="Arial" w:cs="Arial" w:eastAsia="Arial" w:hAnsi="Arial"/>
          <w:sz w:val="16"/>
          <w:szCs w:val="16"/>
          <w:u w:val="single" w:color="auto"/>
          <w:color w:val="auto"/>
        </w:rPr>
        <w:t>Payment of Fees</w:t>
      </w:r>
      <w:r>
        <w:rPr>
          <w:rFonts w:ascii="Arial" w:cs="Arial" w:eastAsia="Arial" w:hAnsi="Arial"/>
          <w:sz w:val="16"/>
          <w:szCs w:val="16"/>
          <w:color w:val="auto"/>
        </w:rPr>
        <w:t>. Borrowers shall have reimbursed Agent for all reasonable fees, costs and expenses of closing presented as of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release of the signature pages to this Amendment executed by the Agent and each Required Lender shall be conclusive evidence that each of the conditions listed above have been satisfied and/or waived in writing by the Agent and each Required Lender.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010000"/>
        </w:rPr>
        <w:t xml:space="preserve">Section 5: </w:t>
      </w:r>
      <w:r>
        <w:rPr>
          <w:rFonts w:ascii="Arial" w:cs="Arial" w:eastAsia="Arial" w:hAnsi="Arial"/>
          <w:sz w:val="18"/>
          <w:szCs w:val="18"/>
          <w:u w:val="single" w:color="auto"/>
          <w:color w:val="000000"/>
        </w:rPr>
        <w:t>Covenant</w:t>
      </w:r>
      <w:r>
        <w:rPr>
          <w:rFonts w:ascii="Arial" w:cs="Arial" w:eastAsia="Arial" w:hAnsi="Arial"/>
          <w:sz w:val="18"/>
          <w:szCs w:val="18"/>
          <w:color w:val="000000"/>
        </w:rPr>
        <w:t>. Guarantor shall promptly provide written notice to Agent of the consummation of the merger transactions contemplated by</w:t>
      </w:r>
      <w:r>
        <w:rPr>
          <w:rFonts w:ascii="Arial" w:cs="Arial" w:eastAsia="Arial" w:hAnsi="Arial"/>
          <w:sz w:val="18"/>
          <w:szCs w:val="18"/>
          <w:color w:val="010000"/>
        </w:rPr>
        <w:t xml:space="preserve"> </w:t>
      </w:r>
      <w:r>
        <w:rPr>
          <w:rFonts w:ascii="Arial" w:cs="Arial" w:eastAsia="Arial" w:hAnsi="Arial"/>
          <w:sz w:val="18"/>
          <w:szCs w:val="18"/>
          <w:color w:val="000000"/>
        </w:rPr>
        <w:t>the Monocle Merger Agreement (such merger transactions, collectively, the “</w:t>
      </w:r>
      <w:r>
        <w:rPr>
          <w:rFonts w:ascii="Arial" w:cs="Arial" w:eastAsia="Arial" w:hAnsi="Arial"/>
          <w:sz w:val="18"/>
          <w:szCs w:val="18"/>
          <w:u w:val="single" w:color="auto"/>
          <w:color w:val="000000"/>
        </w:rPr>
        <w:t>Monocle Merger</w:t>
      </w:r>
      <w:r>
        <w:rPr>
          <w:rFonts w:ascii="Arial" w:cs="Arial" w:eastAsia="Arial" w:hAnsi="Arial"/>
          <w:sz w:val="18"/>
          <w:szCs w:val="18"/>
          <w:color w:val="000000"/>
        </w:rPr>
        <w:t>”) and provide Agent with copies of the merger certificates contemplated thereby.</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010000"/>
        </w:rPr>
        <w:t xml:space="preserve">Section 6: </w:t>
      </w:r>
      <w:r>
        <w:rPr>
          <w:rFonts w:ascii="Arial" w:cs="Arial" w:eastAsia="Arial" w:hAnsi="Arial"/>
          <w:sz w:val="17"/>
          <w:szCs w:val="17"/>
          <w:u w:val="single" w:color="auto"/>
          <w:color w:val="000000"/>
        </w:rPr>
        <w:t>Guarantor Reaffirmation and Consent</w:t>
      </w:r>
      <w:r>
        <w:rPr>
          <w:rFonts w:ascii="Arial" w:cs="Arial" w:eastAsia="Arial" w:hAnsi="Arial"/>
          <w:sz w:val="17"/>
          <w:szCs w:val="17"/>
          <w:color w:val="000000"/>
        </w:rPr>
        <w:t>. Guarantor hereby (a) consents to this Amendment; (b) acknowledges and reaffirms all of its</w:t>
      </w:r>
      <w:r>
        <w:rPr>
          <w:rFonts w:ascii="Arial" w:cs="Arial" w:eastAsia="Arial" w:hAnsi="Arial"/>
          <w:sz w:val="17"/>
          <w:szCs w:val="17"/>
          <w:color w:val="010000"/>
        </w:rPr>
        <w:t xml:space="preserve"> </w:t>
      </w:r>
      <w:r>
        <w:rPr>
          <w:rFonts w:ascii="Arial" w:cs="Arial" w:eastAsia="Arial" w:hAnsi="Arial"/>
          <w:sz w:val="17"/>
          <w:szCs w:val="17"/>
          <w:color w:val="000000"/>
        </w:rPr>
        <w:t>obligations under any Loan Document to which it is a party; (c) agrees that each Loan Document to which it is a party is and shall remain in full force and effect, (d) confirms that the Guaranteed Obligations (as defined in the Guaranty and Security Agreement) include the Obligations, as increased, extended, and otherwise modified hereby and (e) ratifies and confirms its consent to any previous amendments of the Credit Agreement and any previous waivers granted with respect to the Credit Agreement. Although Guarantor has been informed of the matters set forth herein and has acknowledged and agreed to same, Guarantor understands that Agent shall have no obligation to inform Guarantor of such matters in the future or to seek Guarantor’s acknowledgement or agreement to future amendments, waivers, or modifications, and nothing herein shall create such a duty.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2" w:name="page273"/>
    <w:bookmarkEnd w:id="272"/>
    <w:p>
      <w:pPr>
        <w:jc w:val="both"/>
        <w:spacing w:after="0" w:line="263" w:lineRule="auto"/>
        <w:rPr>
          <w:sz w:val="20"/>
          <w:szCs w:val="20"/>
          <w:color w:val="auto"/>
        </w:rPr>
      </w:pPr>
      <w:r>
        <w:rPr>
          <w:rFonts w:ascii="Arial" w:cs="Arial" w:eastAsia="Arial" w:hAnsi="Arial"/>
          <w:sz w:val="18"/>
          <w:szCs w:val="18"/>
          <w:color w:val="010000"/>
        </w:rPr>
        <w:t xml:space="preserve">Section 7: </w:t>
      </w:r>
      <w:r>
        <w:rPr>
          <w:rFonts w:ascii="Arial" w:cs="Arial" w:eastAsia="Arial" w:hAnsi="Arial"/>
          <w:sz w:val="18"/>
          <w:szCs w:val="18"/>
          <w:u w:val="single" w:color="auto"/>
          <w:color w:val="010000"/>
        </w:rPr>
        <w:t>Expenses</w:t>
      </w:r>
      <w:r>
        <w:rPr>
          <w:rFonts w:ascii="Arial" w:cs="Arial" w:eastAsia="Arial" w:hAnsi="Arial"/>
          <w:sz w:val="18"/>
          <w:szCs w:val="18"/>
          <w:color w:val="010000"/>
        </w:rPr>
        <w:t xml:space="preserve">. The Borrowers agree to reimburse the Agent for its documented out-of-pocket expenses in connection with this Amendment and the transactions contemplated hereby, including the documented fees, charges and disbursements of one counsel for the Agent, reasonably incurred to the extent required by </w:t>
      </w:r>
      <w:r>
        <w:rPr>
          <w:rFonts w:ascii="Arial" w:cs="Arial" w:eastAsia="Arial" w:hAnsi="Arial"/>
          <w:sz w:val="18"/>
          <w:szCs w:val="18"/>
          <w:u w:val="single" w:color="auto"/>
          <w:color w:val="010000"/>
        </w:rPr>
        <w:t>Section 2.5(a)</w:t>
      </w:r>
      <w:r>
        <w:rPr>
          <w:rFonts w:ascii="Arial" w:cs="Arial" w:eastAsia="Arial" w:hAnsi="Arial"/>
          <w:sz w:val="18"/>
          <w:szCs w:val="18"/>
          <w:color w:val="010000"/>
        </w:rPr>
        <w:t xml:space="preserve"> of the Credit Agreement.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010000"/>
        </w:rPr>
        <w:t xml:space="preserve">Section 8: </w:t>
      </w:r>
      <w:r>
        <w:rPr>
          <w:rFonts w:ascii="Arial" w:cs="Arial" w:eastAsia="Arial" w:hAnsi="Arial"/>
          <w:sz w:val="18"/>
          <w:szCs w:val="18"/>
          <w:u w:val="single" w:color="auto"/>
          <w:color w:val="000000"/>
        </w:rPr>
        <w:t>Counterparts</w:t>
      </w:r>
      <w:r>
        <w:rPr>
          <w:rFonts w:ascii="Arial" w:cs="Arial" w:eastAsia="Arial" w:hAnsi="Arial"/>
          <w:sz w:val="18"/>
          <w:szCs w:val="18"/>
          <w:color w:val="000000"/>
        </w:rPr>
        <w:t>. This Amendment may be executed in any number of counterparts, all of which shall constitute one and the same</w:t>
      </w:r>
      <w:r>
        <w:rPr>
          <w:rFonts w:ascii="Arial" w:cs="Arial" w:eastAsia="Arial" w:hAnsi="Arial"/>
          <w:sz w:val="18"/>
          <w:szCs w:val="18"/>
          <w:color w:val="010000"/>
        </w:rPr>
        <w:t xml:space="preserve"> </w:t>
      </w:r>
      <w:r>
        <w:rPr>
          <w:rFonts w:ascii="Arial" w:cs="Arial" w:eastAsia="Arial" w:hAnsi="Arial"/>
          <w:sz w:val="18"/>
          <w:szCs w:val="18"/>
          <w:color w:val="000000"/>
        </w:rPr>
        <w:t>instrument, and any party hereto may execute this Amendment by signing and delivering one or more counterparts.</w:t>
      </w:r>
    </w:p>
    <w:p>
      <w:pPr>
        <w:spacing w:after="0" w:line="170"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010000"/>
        </w:rPr>
        <w:t>Section 9:</w:t>
      </w:r>
      <w:r>
        <w:rPr>
          <w:sz w:val="20"/>
          <w:szCs w:val="20"/>
          <w:color w:val="auto"/>
        </w:rPr>
        <w:tab/>
      </w:r>
      <w:r>
        <w:rPr>
          <w:rFonts w:ascii="Arial" w:cs="Arial" w:eastAsia="Arial" w:hAnsi="Arial"/>
          <w:sz w:val="16"/>
          <w:szCs w:val="16"/>
          <w:u w:val="single" w:color="auto"/>
          <w:color w:val="auto"/>
        </w:rPr>
        <w:t>Benefit of Amendment</w:t>
      </w:r>
      <w:r>
        <w:rPr>
          <w:rFonts w:ascii="Arial" w:cs="Arial" w:eastAsia="Arial" w:hAnsi="Arial"/>
          <w:sz w:val="16"/>
          <w:szCs w:val="16"/>
          <w:color w:val="auto"/>
        </w:rPr>
        <w:t>. The provisions of this Amendment shall be binding upon and inure to the benefit of each of the parties hereto.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person, other than the parties hereto, shall be entitled to claim any right or benefit hereunder, as a third-party beneficiary or otherwise.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010000"/>
        </w:rPr>
        <w:t xml:space="preserve">Section 10: </w:t>
      </w:r>
      <w:r>
        <w:rPr>
          <w:rFonts w:ascii="Arial" w:cs="Arial" w:eastAsia="Arial" w:hAnsi="Arial"/>
          <w:sz w:val="18"/>
          <w:szCs w:val="18"/>
          <w:u w:val="single" w:color="auto"/>
          <w:color w:val="000000"/>
        </w:rPr>
        <w:t>Governing Law</w:t>
      </w:r>
      <w:r>
        <w:rPr>
          <w:rFonts w:ascii="Arial" w:cs="Arial" w:eastAsia="Arial" w:hAnsi="Arial"/>
          <w:sz w:val="18"/>
          <w:szCs w:val="18"/>
          <w:color w:val="000000"/>
        </w:rPr>
        <w:t>. This Amendment shall be governed by, and construed in accordance with, the laws of the State of New York, without</w:t>
      </w:r>
      <w:r>
        <w:rPr>
          <w:rFonts w:ascii="Arial" w:cs="Arial" w:eastAsia="Arial" w:hAnsi="Arial"/>
          <w:sz w:val="18"/>
          <w:szCs w:val="18"/>
          <w:color w:val="010000"/>
        </w:rPr>
        <w:t xml:space="preserve"> </w:t>
      </w:r>
      <w:r>
        <w:rPr>
          <w:rFonts w:ascii="Arial" w:cs="Arial" w:eastAsia="Arial" w:hAnsi="Arial"/>
          <w:sz w:val="18"/>
          <w:szCs w:val="18"/>
          <w:color w:val="000000"/>
        </w:rPr>
        <w:t>giving effect to the conflict of laws provisions thereof (other than Sections 5-1401 and 5-1402 of the New York General Obligations Law), which would result in the application of the laws of any other jurisdiction.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FOLLOW]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3" w:name="page274"/>
    <w:bookmarkEnd w:id="273"/>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each caused this Amendment to be duly executed by their duly authorized officers or</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attorney-in-fact, as the case may be, all as of the day and year first above written.</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INC.</w:t>
      </w:r>
    </w:p>
    <w:p>
      <w:pPr>
        <w:spacing w:after="0" w:line="229"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184"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USA I LLC</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23440 LLC</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23441 LLC</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23765 LLC</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24423 LLC</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25212 LLC</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25260 LLC</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25313 LLC</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25314 LLC</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25417 LLC</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26342 LLC</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26343 LLC</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26346 LLC</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27094 LLC</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27469 LLC</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27910 LLC</w:t>
      </w:r>
    </w:p>
    <w:p>
      <w:pPr>
        <w:spacing w:after="0" w:line="211"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184"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AERSALE COMPONENT SOLUTIONS, INC.</w:t>
      </w:r>
    </w:p>
    <w:p>
      <w:pPr>
        <w:spacing w:after="0" w:line="229"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1 </w:t>
      </w:r>
      <w:r>
        <w:rPr>
          <w:rFonts w:ascii="Arial" w:cs="Arial" w:eastAsia="Arial" w:hAnsi="Arial"/>
          <w:sz w:val="12"/>
          <w:szCs w:val="12"/>
          <w:color w:val="auto"/>
        </w:rPr>
        <w:t>TO</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4" w:name="page275"/>
    <w:bookmarkEnd w:id="274"/>
    <w:p>
      <w:pPr>
        <w:ind w:left="4520"/>
        <w:spacing w:after="0" w:line="282" w:lineRule="auto"/>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AERSALE AVIATION</w:t>
      </w:r>
      <w:r>
        <w:rPr>
          <w:rFonts w:ascii="Arial" w:cs="Arial" w:eastAsia="Arial" w:hAnsi="Arial"/>
          <w:sz w:val="18"/>
          <w:szCs w:val="18"/>
          <w:color w:val="auto"/>
        </w:rPr>
        <w:t xml:space="preserve"> </w:t>
      </w:r>
      <w:r>
        <w:rPr>
          <w:rFonts w:ascii="Arial" w:cs="Arial" w:eastAsia="Arial" w:hAnsi="Arial"/>
          <w:sz w:val="18"/>
          <w:szCs w:val="18"/>
          <w:b w:val="1"/>
          <w:bCs w:val="1"/>
          <w:color w:val="auto"/>
        </w:rPr>
        <w:t>LIMITED</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35572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21 Springfield Road, Templeogue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Tax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Occupation</w:t>
      </w:r>
    </w:p>
    <w:p>
      <w:pPr>
        <w:spacing w:after="0" w:line="220" w:lineRule="exact"/>
        <w:rPr>
          <w:sz w:val="20"/>
          <w:szCs w:val="20"/>
          <w:color w:val="auto"/>
        </w:rPr>
      </w:pPr>
    </w:p>
    <w:p>
      <w:pPr>
        <w:ind w:left="4520" w:right="440"/>
        <w:spacing w:after="0" w:line="282" w:lineRule="auto"/>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AERSALE 25362</w:t>
      </w:r>
      <w:r>
        <w:rPr>
          <w:rFonts w:ascii="Arial" w:cs="Arial" w:eastAsia="Arial" w:hAnsi="Arial"/>
          <w:sz w:val="18"/>
          <w:szCs w:val="18"/>
          <w:color w:val="auto"/>
        </w:rPr>
        <w:t xml:space="preserve"> </w:t>
      </w:r>
      <w:r>
        <w:rPr>
          <w:rFonts w:ascii="Arial" w:cs="Arial" w:eastAsia="Arial" w:hAnsi="Arial"/>
          <w:sz w:val="18"/>
          <w:szCs w:val="18"/>
          <w:b w:val="1"/>
          <w:bCs w:val="1"/>
          <w:color w:val="auto"/>
        </w:rPr>
        <w:t>AVIATION LIMITED</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35572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21 Springfield Road, Templeogue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Tax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Occupation</w:t>
      </w:r>
    </w:p>
    <w:p>
      <w:pPr>
        <w:spacing w:after="0" w:line="2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1 </w:t>
      </w:r>
      <w:r>
        <w:rPr>
          <w:rFonts w:ascii="Arial" w:cs="Arial" w:eastAsia="Arial" w:hAnsi="Arial"/>
          <w:sz w:val="12"/>
          <w:szCs w:val="12"/>
          <w:color w:val="auto"/>
        </w:rPr>
        <w:t>TO</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1440" w:top="904" w:right="419" w:bottom="1440" w:gutter="0" w:footer="0" w:header="0"/>
        </w:sectPr>
      </w:pPr>
    </w:p>
    <w:bookmarkStart w:id="275" w:name="page276"/>
    <w:bookmarkEnd w:id="275"/>
    <w:p>
      <w:pPr>
        <w:ind w:left="4520"/>
        <w:spacing w:after="0" w:line="282" w:lineRule="auto"/>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AERSALE 25430</w:t>
      </w:r>
      <w:r>
        <w:rPr>
          <w:rFonts w:ascii="Arial" w:cs="Arial" w:eastAsia="Arial" w:hAnsi="Arial"/>
          <w:sz w:val="18"/>
          <w:szCs w:val="18"/>
          <w:color w:val="auto"/>
        </w:rPr>
        <w:t xml:space="preserve"> </w:t>
      </w:r>
      <w:r>
        <w:rPr>
          <w:rFonts w:ascii="Arial" w:cs="Arial" w:eastAsia="Arial" w:hAnsi="Arial"/>
          <w:sz w:val="18"/>
          <w:szCs w:val="18"/>
          <w:b w:val="1"/>
          <w:bCs w:val="1"/>
          <w:color w:val="auto"/>
        </w:rPr>
        <w:t>AVIATION LIMITED</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5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35572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21 Springfield Road, Templeogue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Tax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Occupation</w:t>
      </w:r>
    </w:p>
    <w:p>
      <w:pPr>
        <w:spacing w:after="0" w:line="220" w:lineRule="exact"/>
        <w:rPr>
          <w:sz w:val="20"/>
          <w:szCs w:val="20"/>
          <w:color w:val="auto"/>
        </w:rPr>
      </w:pPr>
    </w:p>
    <w:p>
      <w:pPr>
        <w:ind w:left="4520"/>
        <w:spacing w:after="0" w:line="282" w:lineRule="auto"/>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AERSALE 27469</w:t>
      </w:r>
      <w:r>
        <w:rPr>
          <w:rFonts w:ascii="Arial" w:cs="Arial" w:eastAsia="Arial" w:hAnsi="Arial"/>
          <w:sz w:val="18"/>
          <w:szCs w:val="18"/>
          <w:color w:val="auto"/>
        </w:rPr>
        <w:t xml:space="preserve"> </w:t>
      </w:r>
      <w:r>
        <w:rPr>
          <w:rFonts w:ascii="Arial" w:cs="Arial" w:eastAsia="Arial" w:hAnsi="Arial"/>
          <w:sz w:val="18"/>
          <w:szCs w:val="18"/>
          <w:b w:val="1"/>
          <w:bCs w:val="1"/>
          <w:color w:val="auto"/>
        </w:rPr>
        <w:t>AVIATION LIMITED</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5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35572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21 Springfield Road, Templeogue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Tax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Occupation</w:t>
      </w:r>
    </w:p>
    <w:p>
      <w:pPr>
        <w:spacing w:after="0" w:line="2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1 </w:t>
      </w:r>
      <w:r>
        <w:rPr>
          <w:rFonts w:ascii="Arial" w:cs="Arial" w:eastAsia="Arial" w:hAnsi="Arial"/>
          <w:sz w:val="12"/>
          <w:szCs w:val="12"/>
          <w:color w:val="auto"/>
        </w:rPr>
        <w:t>TO</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00"/>
          </w:cols>
          <w:pgMar w:left="1440" w:top="904" w:right="859" w:bottom="1440" w:gutter="0" w:footer="0" w:header="0"/>
        </w:sectPr>
      </w:pPr>
    </w:p>
    <w:bookmarkStart w:id="276" w:name="page277"/>
    <w:bookmarkEnd w:id="276"/>
    <w:p>
      <w:pPr>
        <w:ind w:left="4520"/>
        <w:spacing w:after="0" w:line="282" w:lineRule="auto"/>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AERSALE 27910</w:t>
      </w:r>
      <w:r>
        <w:rPr>
          <w:rFonts w:ascii="Arial" w:cs="Arial" w:eastAsia="Arial" w:hAnsi="Arial"/>
          <w:sz w:val="18"/>
          <w:szCs w:val="18"/>
          <w:color w:val="auto"/>
        </w:rPr>
        <w:t xml:space="preserve"> </w:t>
      </w:r>
      <w:r>
        <w:rPr>
          <w:rFonts w:ascii="Arial" w:cs="Arial" w:eastAsia="Arial" w:hAnsi="Arial"/>
          <w:sz w:val="18"/>
          <w:szCs w:val="18"/>
          <w:b w:val="1"/>
          <w:bCs w:val="1"/>
          <w:color w:val="auto"/>
        </w:rPr>
        <w:t>AVIATION LIMITED</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5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35572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21 Springfield Road, Templeogue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Tax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Occupation</w:t>
      </w:r>
    </w:p>
    <w:p>
      <w:pPr>
        <w:spacing w:after="0" w:line="220" w:lineRule="exact"/>
        <w:rPr>
          <w:sz w:val="20"/>
          <w:szCs w:val="20"/>
          <w:color w:val="auto"/>
        </w:rPr>
      </w:pPr>
    </w:p>
    <w:p>
      <w:pPr>
        <w:ind w:left="4520"/>
        <w:spacing w:after="0" w:line="282" w:lineRule="auto"/>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AERSALE 28149</w:t>
      </w:r>
      <w:r>
        <w:rPr>
          <w:rFonts w:ascii="Arial" w:cs="Arial" w:eastAsia="Arial" w:hAnsi="Arial"/>
          <w:sz w:val="18"/>
          <w:szCs w:val="18"/>
          <w:color w:val="auto"/>
        </w:rPr>
        <w:t xml:space="preserve"> </w:t>
      </w:r>
      <w:r>
        <w:rPr>
          <w:rFonts w:ascii="Arial" w:cs="Arial" w:eastAsia="Arial" w:hAnsi="Arial"/>
          <w:sz w:val="18"/>
          <w:szCs w:val="18"/>
          <w:b w:val="1"/>
          <w:bCs w:val="1"/>
          <w:color w:val="auto"/>
        </w:rPr>
        <w:t>AVIATION LIMITED</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5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35572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21 Springfield Road, Templeogue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Tax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Occupation</w:t>
      </w:r>
    </w:p>
    <w:p>
      <w:pPr>
        <w:spacing w:after="0" w:line="2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1 </w:t>
      </w:r>
      <w:r>
        <w:rPr>
          <w:rFonts w:ascii="Arial" w:cs="Arial" w:eastAsia="Arial" w:hAnsi="Arial"/>
          <w:sz w:val="12"/>
          <w:szCs w:val="12"/>
          <w:color w:val="auto"/>
        </w:rPr>
        <w:t>TO</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00"/>
          </w:cols>
          <w:pgMar w:left="1440" w:top="904" w:right="859" w:bottom="1440" w:gutter="0" w:footer="0" w:header="0"/>
        </w:sectPr>
      </w:pPr>
    </w:p>
    <w:bookmarkStart w:id="277" w:name="page278"/>
    <w:bookmarkEnd w:id="277"/>
    <w:p>
      <w:pPr>
        <w:ind w:left="4520"/>
        <w:spacing w:after="0" w:line="282" w:lineRule="auto"/>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CORAL GABLES 1</w:t>
      </w:r>
      <w:r>
        <w:rPr>
          <w:rFonts w:ascii="Arial" w:cs="Arial" w:eastAsia="Arial" w:hAnsi="Arial"/>
          <w:sz w:val="18"/>
          <w:szCs w:val="18"/>
          <w:color w:val="auto"/>
        </w:rPr>
        <w:t xml:space="preserve"> </w:t>
      </w:r>
      <w:r>
        <w:rPr>
          <w:rFonts w:ascii="Arial" w:cs="Arial" w:eastAsia="Arial" w:hAnsi="Arial"/>
          <w:sz w:val="18"/>
          <w:szCs w:val="18"/>
          <w:b w:val="1"/>
          <w:bCs w:val="1"/>
          <w:color w:val="auto"/>
        </w:rPr>
        <w:t>LIMITED</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5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35572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21 Springfield Road, Templeogue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Tax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Occupation</w:t>
      </w:r>
    </w:p>
    <w:p>
      <w:pPr>
        <w:spacing w:after="0" w:line="220" w:lineRule="exact"/>
        <w:rPr>
          <w:sz w:val="20"/>
          <w:szCs w:val="20"/>
          <w:color w:val="auto"/>
        </w:rPr>
      </w:pPr>
    </w:p>
    <w:p>
      <w:pPr>
        <w:ind w:left="4520"/>
        <w:spacing w:after="0" w:line="282" w:lineRule="auto"/>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CORAL GABLES 2</w:t>
      </w:r>
      <w:r>
        <w:rPr>
          <w:rFonts w:ascii="Arial" w:cs="Arial" w:eastAsia="Arial" w:hAnsi="Arial"/>
          <w:sz w:val="18"/>
          <w:szCs w:val="18"/>
          <w:color w:val="auto"/>
        </w:rPr>
        <w:t xml:space="preserve"> </w:t>
      </w:r>
      <w:r>
        <w:rPr>
          <w:rFonts w:ascii="Arial" w:cs="Arial" w:eastAsia="Arial" w:hAnsi="Arial"/>
          <w:sz w:val="18"/>
          <w:szCs w:val="18"/>
          <w:b w:val="1"/>
          <w:bCs w:val="1"/>
          <w:color w:val="auto"/>
        </w:rPr>
        <w:t>LIMITED</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5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35572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Signature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Joan McElduff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Witness Name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21 Springfield Road, Templeogue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Tax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Occupation</w:t>
      </w:r>
    </w:p>
    <w:p>
      <w:pPr>
        <w:spacing w:after="0" w:line="2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1 </w:t>
      </w:r>
      <w:r>
        <w:rPr>
          <w:rFonts w:ascii="Arial" w:cs="Arial" w:eastAsia="Arial" w:hAnsi="Arial"/>
          <w:sz w:val="12"/>
          <w:szCs w:val="12"/>
          <w:color w:val="auto"/>
        </w:rPr>
        <w:t>TO</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820"/>
          </w:cols>
          <w:pgMar w:left="1440" w:top="904" w:right="639" w:bottom="1440" w:gutter="0" w:footer="0" w:header="0"/>
        </w:sectPr>
      </w:pPr>
    </w:p>
    <w:bookmarkStart w:id="278" w:name="page279"/>
    <w:bookmarkEnd w:id="278"/>
    <w:p>
      <w:pPr>
        <w:ind w:left="4360"/>
        <w:spacing w:after="0"/>
        <w:rPr>
          <w:sz w:val="20"/>
          <w:szCs w:val="20"/>
          <w:color w:val="auto"/>
        </w:rPr>
      </w:pPr>
      <w:r>
        <w:rPr>
          <w:rFonts w:ascii="Arial" w:cs="Arial" w:eastAsia="Arial" w:hAnsi="Arial"/>
          <w:sz w:val="18"/>
          <w:szCs w:val="18"/>
          <w:b w:val="1"/>
          <w:bCs w:val="1"/>
          <w:color w:val="auto"/>
        </w:rPr>
        <w:t>AVBORNE ACCESSORY GROUP, INC.</w:t>
      </w:r>
    </w:p>
    <w:p>
      <w:pPr>
        <w:spacing w:after="0" w:line="229"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184" w:lineRule="exact"/>
        <w:rPr>
          <w:sz w:val="20"/>
          <w:szCs w:val="20"/>
          <w:color w:val="auto"/>
        </w:rPr>
      </w:pPr>
    </w:p>
    <w:p>
      <w:pPr>
        <w:ind w:left="4360" w:right="560"/>
        <w:spacing w:after="0" w:line="282" w:lineRule="auto"/>
        <w:rPr>
          <w:sz w:val="20"/>
          <w:szCs w:val="20"/>
          <w:color w:val="auto"/>
        </w:rPr>
      </w:pPr>
      <w:r>
        <w:rPr>
          <w:rFonts w:ascii="Arial" w:cs="Arial" w:eastAsia="Arial" w:hAnsi="Arial"/>
          <w:sz w:val="18"/>
          <w:szCs w:val="18"/>
          <w:b w:val="1"/>
          <w:bCs w:val="1"/>
          <w:color w:val="auto"/>
        </w:rPr>
        <w:t>BANK OF UTAH, not in its individual capacity but solely as Owner Trustee for the Aircraft MSN 24125 Trust</w:t>
      </w:r>
    </w:p>
    <w:p>
      <w:pPr>
        <w:spacing w:after="0" w:line="166"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Arsenault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Arsenault</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412"/>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AERSALE USA 2 SUB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412"/>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QWEST AIR PARTS,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412"/>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Q2 AVIATION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1 </w:t>
      </w:r>
      <w:r>
        <w:rPr>
          <w:rFonts w:ascii="Arial" w:cs="Arial" w:eastAsia="Arial" w:hAnsi="Arial"/>
          <w:sz w:val="12"/>
          <w:szCs w:val="12"/>
          <w:color w:val="auto"/>
        </w:rPr>
        <w:t>TO</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79" w:name="page280"/>
    <w:bookmarkEnd w:id="279"/>
    <w:p>
      <w:pPr>
        <w:ind w:left="5480"/>
        <w:spacing w:after="0"/>
        <w:rPr>
          <w:sz w:val="20"/>
          <w:szCs w:val="20"/>
          <w:color w:val="auto"/>
        </w:rPr>
      </w:pPr>
      <w:r>
        <w:rPr>
          <w:rFonts w:ascii="Arial" w:cs="Arial" w:eastAsia="Arial" w:hAnsi="Arial"/>
          <w:sz w:val="18"/>
          <w:szCs w:val="18"/>
          <w:b w:val="1"/>
          <w:bCs w:val="1"/>
          <w:color w:val="auto"/>
        </w:rPr>
        <w:t>AIRCRAFT COMPOSITE TECHNOLOGIES, INC.</w:t>
      </w:r>
    </w:p>
    <w:p>
      <w:pPr>
        <w:spacing w:after="0" w:line="229"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AERSALE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1 </w:t>
      </w:r>
      <w:r>
        <w:rPr>
          <w:rFonts w:ascii="Arial" w:cs="Arial" w:eastAsia="Arial" w:hAnsi="Arial"/>
          <w:sz w:val="12"/>
          <w:szCs w:val="12"/>
          <w:color w:val="auto"/>
        </w:rPr>
        <w:t>TO</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0" w:name="page281"/>
    <w:bookmarkEnd w:id="280"/>
    <w:p>
      <w:pPr>
        <w:ind w:left="4360" w:right="380"/>
        <w:spacing w:after="0" w:line="282" w:lineRule="auto"/>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as Agent and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166"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Klayes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Klayes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1 </w:t>
      </w:r>
      <w:r>
        <w:rPr>
          <w:rFonts w:ascii="Arial" w:cs="Arial" w:eastAsia="Arial" w:hAnsi="Arial"/>
          <w:sz w:val="12"/>
          <w:szCs w:val="12"/>
          <w:color w:val="auto"/>
        </w:rPr>
        <w:t>TO</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81" w:name="page282"/>
    <w:bookmarkEnd w:id="281"/>
    <w:p>
      <w:pPr>
        <w:ind w:left="4360"/>
        <w:spacing w:after="0"/>
        <w:rPr>
          <w:sz w:val="20"/>
          <w:szCs w:val="20"/>
          <w:color w:val="auto"/>
        </w:rPr>
      </w:pPr>
      <w:r>
        <w:rPr>
          <w:rFonts w:ascii="Arial" w:cs="Arial" w:eastAsia="Arial" w:hAnsi="Arial"/>
          <w:sz w:val="18"/>
          <w:szCs w:val="18"/>
          <w:b w:val="1"/>
          <w:bCs w:val="1"/>
          <w:color w:val="auto"/>
        </w:rPr>
        <w:t>WELLS FARGO CAPITAL FINANCE (UK) LIMITED</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Del Busto</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Patricia Del Busto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1 </w:t>
      </w:r>
      <w:r>
        <w:rPr>
          <w:rFonts w:ascii="Arial" w:cs="Arial" w:eastAsia="Arial" w:hAnsi="Arial"/>
          <w:sz w:val="12"/>
          <w:szCs w:val="12"/>
          <w:color w:val="auto"/>
        </w:rPr>
        <w:t>TO</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82" w:name="page283"/>
    <w:bookmarkEnd w:id="282"/>
    <w:p>
      <w:pPr>
        <w:ind w:left="4360"/>
        <w:spacing w:after="0"/>
        <w:rPr>
          <w:sz w:val="20"/>
          <w:szCs w:val="20"/>
          <w:color w:val="auto"/>
        </w:rPr>
      </w:pPr>
      <w:r>
        <w:rPr>
          <w:rFonts w:ascii="Arial" w:cs="Arial" w:eastAsia="Arial" w:hAnsi="Arial"/>
          <w:sz w:val="18"/>
          <w:szCs w:val="18"/>
          <w:b w:val="1"/>
          <w:bCs w:val="1"/>
          <w:color w:val="auto"/>
        </w:rPr>
        <w:t>CITY NATIONAL BANK OF FLORIDA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Diaz</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Diaz</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1 </w:t>
      </w:r>
      <w:r>
        <w:rPr>
          <w:rFonts w:ascii="Arial" w:cs="Arial" w:eastAsia="Arial" w:hAnsi="Arial"/>
          <w:sz w:val="12"/>
          <w:szCs w:val="12"/>
          <w:color w:val="auto"/>
        </w:rPr>
        <w:t>TO</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83" w:name="page284"/>
    <w:bookmarkEnd w:id="283"/>
    <w:p>
      <w:pPr>
        <w:ind w:left="4360"/>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Sarkis</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Albert Sarkis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1 </w:t>
      </w:r>
      <w:r>
        <w:rPr>
          <w:rFonts w:ascii="Arial" w:cs="Arial" w:eastAsia="Arial" w:hAnsi="Arial"/>
          <w:sz w:val="12"/>
          <w:szCs w:val="12"/>
          <w:color w:val="auto"/>
        </w:rPr>
        <w:t>TO</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84" w:name="page285"/>
    <w:bookmarkEnd w:id="284"/>
    <w:p>
      <w:pPr>
        <w:ind w:left="10020"/>
        <w:spacing w:after="0"/>
        <w:rPr>
          <w:sz w:val="20"/>
          <w:szCs w:val="20"/>
          <w:color w:val="auto"/>
        </w:rPr>
      </w:pPr>
      <w:r>
        <w:rPr>
          <w:rFonts w:ascii="Arial" w:cs="Arial" w:eastAsia="Arial" w:hAnsi="Arial"/>
          <w:sz w:val="19"/>
          <w:szCs w:val="19"/>
          <w:b w:val="1"/>
          <w:bCs w:val="1"/>
          <w:color w:val="auto"/>
        </w:rPr>
        <w:t>Exhibit 10.24</w:t>
      </w:r>
    </w:p>
    <w:p>
      <w:pPr>
        <w:spacing w:after="0" w:line="2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AMENDMENT No. 2 AND JOINDER dated as of March 12, 2021 (this “</w:t>
      </w:r>
      <w:r>
        <w:rPr>
          <w:rFonts w:ascii="Arial" w:cs="Arial" w:eastAsia="Arial" w:hAnsi="Arial"/>
          <w:sz w:val="17"/>
          <w:szCs w:val="17"/>
          <w:b w:val="1"/>
          <w:bCs w:val="1"/>
          <w:u w:val="single" w:color="auto"/>
          <w:color w:val="auto"/>
        </w:rPr>
        <w:t>Amendment</w:t>
      </w:r>
      <w:r>
        <w:rPr>
          <w:rFonts w:ascii="Arial" w:cs="Arial" w:eastAsia="Arial" w:hAnsi="Arial"/>
          <w:sz w:val="17"/>
          <w:szCs w:val="17"/>
          <w:color w:val="auto"/>
        </w:rPr>
        <w:t>”) to the Amended and Restated Credit Agreement dated as of July 20, 2018 (as amended, modified or otherwise supplemented through the date hereof, the “</w:t>
      </w:r>
      <w:r>
        <w:rPr>
          <w:rFonts w:ascii="Arial" w:cs="Arial" w:eastAsia="Arial" w:hAnsi="Arial"/>
          <w:sz w:val="17"/>
          <w:szCs w:val="17"/>
          <w:b w:val="1"/>
          <w:bCs w:val="1"/>
          <w:u w:val="single" w:color="auto"/>
          <w:color w:val="auto"/>
        </w:rPr>
        <w:t>Credit Agreement</w:t>
      </w:r>
      <w:r>
        <w:rPr>
          <w:rFonts w:ascii="Arial" w:cs="Arial" w:eastAsia="Arial" w:hAnsi="Arial"/>
          <w:sz w:val="17"/>
          <w:szCs w:val="17"/>
          <w:color w:val="auto"/>
        </w:rPr>
        <w:t>”), by and among AERSALE, INC., a Florida corporation, AERSALE USA 1 LLC, a Delaware limited liability company, AERSALE 23440 LLC, a Delaware limited liability company, AERSALE 23441 LLC, a Delaware limited liability company, AERSALE 23765 LLC, a Delaware limited liability company, AERSALE 24423 LLC, a Delaware limited liability company, AERSALE 25212 LLC, a Delaware limited liability company, AERSALE 25260 LLC, a Delaware limited liability company, AERSALE 25313 LLC, a Delaware limited liability company, AERSALE 25314 LLC, a Delaware limited liability company, AERSALE 25417 LLC, a Delaware limited liability company, AERSALE 26342 LLC, a Delaware limited liability company, AERSALE 26343 LLC, a Delaware limited liability company, AERSALE 26346 LLC, a Delaware limited liability company, AERSALE 27094 LLC, a Delaware limited liability company, AERSALE 27469 LLC, a Delaware limited liability company, AERSALE 27910 LLC, a Delaware limited liability company, AERSALE COMPONENT SOLUTIONS, INC., a New Mexico corporation, AERSALE AVIATION LIMITED, an Irish private company limited by shares, AERSALE 25362 AVIATION LIMITED, an Irish private company limited by shares, AERSALE 25430 AVIATION LIMITED, an Irish private company limited by shares, AERSALE 27469 AVIATION LIMITED, an Irish private company limited by shares, AERSALE 27910 AVIATION LIMITED, an Irish private company limited by shares, AERSALE 28149 AVIATION LIMITED, an Irish private company limited by shares, CORAL GABLES 1 LIMITED, an Irish private company limited by shares, CORAL GABLES 2 LIMITED, an Irish private company limited by shares, AVBORNE ACCESSORY GROUP, INC., a Delaware corporation, BANK OF UTAH, NOT IN ITS INDIVIDUAL CAPACITY BUT SOLELY AS OWNER TRUSTEE UNDER THE AIRCRAFT MSN 24125 TRUST, AERSALE USA 2 SUB LLC, a Delaware limited liability company, QWEST AIR PARTS, LLC, a Florida limited liability company, Q2 AVIATION LLC, a Tennessee limited liability company, and AIRCRAFT COMPOSITE TECHNOLOGIES, INC., a Florida corporation (each an “</w:t>
      </w:r>
      <w:r>
        <w:rPr>
          <w:rFonts w:ascii="Arial" w:cs="Arial" w:eastAsia="Arial" w:hAnsi="Arial"/>
          <w:sz w:val="17"/>
          <w:szCs w:val="17"/>
          <w:b w:val="1"/>
          <w:bCs w:val="1"/>
          <w:u w:val="single" w:color="auto"/>
          <w:color w:val="auto"/>
        </w:rPr>
        <w:t>Existing Borrower</w:t>
      </w:r>
      <w:r>
        <w:rPr>
          <w:rFonts w:ascii="Arial" w:cs="Arial" w:eastAsia="Arial" w:hAnsi="Arial"/>
          <w:sz w:val="17"/>
          <w:szCs w:val="17"/>
          <w:color w:val="auto"/>
        </w:rPr>
        <w:t>” and collectively, the “</w:t>
      </w:r>
      <w:r>
        <w:rPr>
          <w:rFonts w:ascii="Arial" w:cs="Arial" w:eastAsia="Arial" w:hAnsi="Arial"/>
          <w:sz w:val="17"/>
          <w:szCs w:val="17"/>
          <w:b w:val="1"/>
          <w:bCs w:val="1"/>
          <w:u w:val="single" w:color="auto"/>
          <w:color w:val="auto"/>
        </w:rPr>
        <w:t>Existing Borrowers</w:t>
      </w:r>
      <w:r>
        <w:rPr>
          <w:rFonts w:ascii="Arial" w:cs="Arial" w:eastAsia="Arial" w:hAnsi="Arial"/>
          <w:sz w:val="17"/>
          <w:szCs w:val="17"/>
          <w:color w:val="auto"/>
        </w:rPr>
        <w:t>”), AERSALE AVIATION INC., a Delaware corporation formerly known as AerSale Corp. (“</w:t>
      </w:r>
      <w:r>
        <w:rPr>
          <w:rFonts w:ascii="Arial" w:cs="Arial" w:eastAsia="Arial" w:hAnsi="Arial"/>
          <w:sz w:val="17"/>
          <w:szCs w:val="17"/>
          <w:b w:val="1"/>
          <w:bCs w:val="1"/>
          <w:u w:val="single" w:color="auto"/>
          <w:color w:val="auto"/>
        </w:rPr>
        <w:t>AerSale Aviation</w:t>
      </w:r>
      <w:r>
        <w:rPr>
          <w:rFonts w:ascii="Arial" w:cs="Arial" w:eastAsia="Arial" w:hAnsi="Arial"/>
          <w:sz w:val="17"/>
          <w:szCs w:val="17"/>
          <w:color w:val="auto"/>
        </w:rPr>
        <w:t>” and together with the Borrowers, each an “</w:t>
      </w:r>
      <w:r>
        <w:rPr>
          <w:rFonts w:ascii="Arial" w:cs="Arial" w:eastAsia="Arial" w:hAnsi="Arial"/>
          <w:sz w:val="17"/>
          <w:szCs w:val="17"/>
          <w:b w:val="1"/>
          <w:bCs w:val="1"/>
          <w:u w:val="single" w:color="auto"/>
          <w:color w:val="auto"/>
        </w:rPr>
        <w:t>Existing Loan Party</w:t>
      </w:r>
      <w:r>
        <w:rPr>
          <w:rFonts w:ascii="Arial" w:cs="Arial" w:eastAsia="Arial" w:hAnsi="Arial"/>
          <w:sz w:val="17"/>
          <w:szCs w:val="17"/>
          <w:color w:val="auto"/>
        </w:rPr>
        <w:t>” and collectively, the “</w:t>
      </w:r>
      <w:r>
        <w:rPr>
          <w:rFonts w:ascii="Arial" w:cs="Arial" w:eastAsia="Arial" w:hAnsi="Arial"/>
          <w:sz w:val="17"/>
          <w:szCs w:val="17"/>
          <w:b w:val="1"/>
          <w:bCs w:val="1"/>
          <w:u w:val="single" w:color="auto"/>
          <w:color w:val="auto"/>
        </w:rPr>
        <w:t>Existing Loan Parties</w:t>
      </w:r>
      <w:r>
        <w:rPr>
          <w:rFonts w:ascii="Arial" w:cs="Arial" w:eastAsia="Arial" w:hAnsi="Arial"/>
          <w:sz w:val="17"/>
          <w:szCs w:val="17"/>
          <w:color w:val="auto"/>
        </w:rPr>
        <w:t>”), the Lenders signatory hereto, and WELLS FARGO BANK, NATIONAL ASSOCIATION, as Administrative Agent and Lender (the “</w:t>
      </w:r>
      <w:r>
        <w:rPr>
          <w:rFonts w:ascii="Arial" w:cs="Arial" w:eastAsia="Arial" w:hAnsi="Arial"/>
          <w:sz w:val="17"/>
          <w:szCs w:val="17"/>
          <w:b w:val="1"/>
          <w:bCs w:val="1"/>
          <w:u w:val="single" w:color="auto"/>
          <w:color w:val="auto"/>
        </w:rPr>
        <w:t>Agent</w:t>
      </w:r>
      <w:r>
        <w:rPr>
          <w:rFonts w:ascii="Arial" w:cs="Arial" w:eastAsia="Arial" w:hAnsi="Arial"/>
          <w:sz w:val="17"/>
          <w:szCs w:val="17"/>
          <w:color w:val="auto"/>
        </w:rPr>
        <w:t>”). Capitalized terms used herein and not otherwise defined shall have the respective meanings ascribed thereto in the Credit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Existing Borrowers, AerSale Aviation, Agent and the Lenders signatory thereto are parties to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Borrowers request that the Agent and the Lenders agree to make certain amendments to the Credit Agreement and join</w:t>
      </w:r>
    </w:p>
    <w:p>
      <w:pPr>
        <w:spacing w:after="0" w:line="39" w:lineRule="exact"/>
        <w:rPr>
          <w:sz w:val="20"/>
          <w:szCs w:val="20"/>
          <w:color w:val="auto"/>
        </w:rPr>
      </w:pPr>
    </w:p>
    <w:p>
      <w:pPr>
        <w:jc w:val="both"/>
        <w:ind w:firstLine="8"/>
        <w:spacing w:after="0" w:line="253" w:lineRule="auto"/>
        <w:tabs>
          <w:tab w:leader="none" w:pos="25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AerSale Corporation, a Delaware corporation (“</w:t>
      </w:r>
      <w:r>
        <w:rPr>
          <w:rFonts w:ascii="Arial" w:cs="Arial" w:eastAsia="Arial" w:hAnsi="Arial"/>
          <w:sz w:val="18"/>
          <w:szCs w:val="18"/>
          <w:b w:val="1"/>
          <w:bCs w:val="1"/>
          <w:u w:val="single" w:color="auto"/>
          <w:color w:val="auto"/>
        </w:rPr>
        <w:t>AerSale Corporation</w:t>
      </w:r>
      <w:r>
        <w:rPr>
          <w:rFonts w:ascii="Arial" w:cs="Arial" w:eastAsia="Arial" w:hAnsi="Arial"/>
          <w:sz w:val="18"/>
          <w:szCs w:val="18"/>
          <w:color w:val="auto"/>
        </w:rPr>
        <w:t>”) and Monocle Parent LLC, a Delaware limited liability company (“</w:t>
      </w:r>
      <w:r>
        <w:rPr>
          <w:rFonts w:ascii="Arial" w:cs="Arial" w:eastAsia="Arial" w:hAnsi="Arial"/>
          <w:sz w:val="18"/>
          <w:szCs w:val="18"/>
          <w:b w:val="1"/>
          <w:bCs w:val="1"/>
          <w:u w:val="single" w:color="auto"/>
          <w:color w:val="auto"/>
        </w:rPr>
        <w:t>Monocle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and together with AerSale Corporation, each a “</w:t>
      </w:r>
      <w:r>
        <w:rPr>
          <w:rFonts w:ascii="Arial" w:cs="Arial" w:eastAsia="Arial" w:hAnsi="Arial"/>
          <w:sz w:val="18"/>
          <w:szCs w:val="18"/>
          <w:b w:val="1"/>
          <w:bCs w:val="1"/>
          <w:u w:val="single" w:color="auto"/>
          <w:color w:val="auto"/>
        </w:rPr>
        <w:t>New Guarantor</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New Guarantors</w:t>
      </w:r>
      <w:r>
        <w:rPr>
          <w:rFonts w:ascii="Arial" w:cs="Arial" w:eastAsia="Arial" w:hAnsi="Arial"/>
          <w:sz w:val="18"/>
          <w:szCs w:val="18"/>
          <w:color w:val="auto"/>
        </w:rPr>
        <w:t>”) as guarantors under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other Loan Documents and (b) AerSale Ireland 1 Limited, an Irish private company limited by shares (“</w:t>
      </w:r>
      <w:r>
        <w:rPr>
          <w:rFonts w:ascii="Arial" w:cs="Arial" w:eastAsia="Arial" w:hAnsi="Arial"/>
          <w:sz w:val="18"/>
          <w:szCs w:val="18"/>
          <w:b w:val="1"/>
          <w:bCs w:val="1"/>
          <w:u w:val="single" w:color="auto"/>
          <w:color w:val="auto"/>
        </w:rPr>
        <w:t>New Borrower</w:t>
      </w:r>
      <w:r>
        <w:rPr>
          <w:rFonts w:ascii="Arial" w:cs="Arial" w:eastAsia="Arial" w:hAnsi="Arial"/>
          <w:sz w:val="18"/>
          <w:szCs w:val="18"/>
          <w:color w:val="auto"/>
        </w:rPr>
        <w:t>” and together with the Existing Borrower, the “</w:t>
      </w:r>
      <w:r>
        <w:rPr>
          <w:rFonts w:ascii="Arial" w:cs="Arial" w:eastAsia="Arial" w:hAnsi="Arial"/>
          <w:sz w:val="18"/>
          <w:szCs w:val="18"/>
          <w:b w:val="1"/>
          <w:bCs w:val="1"/>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the New Borrower together with the New Guarantors and the Existing Loan Parties are referred to herein as the “</w:t>
      </w:r>
      <w:r>
        <w:rPr>
          <w:rFonts w:ascii="Arial" w:cs="Arial" w:eastAsia="Arial" w:hAnsi="Arial"/>
          <w:sz w:val="18"/>
          <w:szCs w:val="18"/>
          <w:b w:val="1"/>
          <w:bCs w:val="1"/>
          <w:u w:val="single" w:color="auto"/>
          <w:color w:val="auto"/>
        </w:rPr>
        <w:t>Loan Parties</w:t>
      </w:r>
      <w:r>
        <w:rPr>
          <w:rFonts w:ascii="Arial" w:cs="Arial" w:eastAsia="Arial" w:hAnsi="Arial"/>
          <w:sz w:val="18"/>
          <w:szCs w:val="18"/>
          <w:color w:val="auto"/>
        </w:rPr>
        <w:t>” and each a “</w:t>
      </w:r>
      <w:r>
        <w:rPr>
          <w:rFonts w:ascii="Arial" w:cs="Arial" w:eastAsia="Arial" w:hAnsi="Arial"/>
          <w:sz w:val="18"/>
          <w:szCs w:val="18"/>
          <w:b w:val="1"/>
          <w:bCs w:val="1"/>
          <w:u w:val="single" w:color="auto"/>
          <w:color w:val="auto"/>
        </w:rPr>
        <w:t>Loan Party</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[AerSale]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5" w:name="page286"/>
    <w:bookmarkEnd w:id="285"/>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Events of Default have occurred and are continuing under (a) Section 8.2(a)(iv) of the Credit Agreement as a result of breach</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7(l) of the Guaranty and Security Agreement due to the conversion of Qwest Air Parts, Inc., a Florida corporation, into Qwest Air Parts, LLC, a Florida limited liability company, and (b) Section 8.2(b) of the Credit Agreement as a result of the breach of Section 5.11 of the Credit Agreement with respect to the formation of New Borrower (collectively, the “</w:t>
      </w:r>
      <w:r>
        <w:rPr>
          <w:rFonts w:ascii="Arial" w:cs="Arial" w:eastAsia="Arial" w:hAnsi="Arial"/>
          <w:sz w:val="18"/>
          <w:szCs w:val="18"/>
          <w:b w:val="1"/>
          <w:bCs w:val="1"/>
          <w:u w:val="single" w:color="auto"/>
          <w:color w:val="auto"/>
        </w:rPr>
        <w:t>Known Existing Defaults</w:t>
      </w:r>
      <w:r>
        <w:rPr>
          <w:rFonts w:ascii="Arial" w:cs="Arial" w:eastAsia="Arial" w:hAnsi="Arial"/>
          <w:sz w:val="18"/>
          <w:szCs w:val="18"/>
          <w:color w:val="auto"/>
        </w:rPr>
        <w:t>”) and the Borrowers have requested that the Agent and Lenders waive such Event of Default;</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the amendments contemplated in this Amendment to be effective, Section 14.1(a) of the Credit Agreement requires the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of all Lenders;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Lenders signatory hereto constitute all Lenders under the Credit Agreement; and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Agent and the Lenders are willing to agree to such amendments and waive the Known Existing Default, on the terms and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conditions set forth herein.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the sum of $1.00 and other good and valuable consideration, the receipt and sufficiency</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are hereby acknowledged, the parties hereto agree as follows:</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010000"/>
        </w:rPr>
        <w:t>Section 1:</w:t>
      </w:r>
      <w:r>
        <w:rPr>
          <w:sz w:val="20"/>
          <w:szCs w:val="20"/>
          <w:color w:val="auto"/>
        </w:rPr>
        <w:tab/>
      </w:r>
      <w:r>
        <w:rPr>
          <w:rFonts w:ascii="Arial" w:cs="Arial" w:eastAsia="Arial" w:hAnsi="Arial"/>
          <w:sz w:val="16"/>
          <w:szCs w:val="16"/>
          <w:u w:val="single" w:color="auto"/>
          <w:color w:val="auto"/>
        </w:rPr>
        <w:t>Amendments to Credit Agreement</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9" w:lineRule="auto"/>
        <w:tabs>
          <w:tab w:leader="none" w:pos="1681" w:val="left"/>
        </w:tabs>
        <w:numPr>
          <w:ilvl w:val="0"/>
          <w:numId w:val="208"/>
        </w:numPr>
        <w:rPr>
          <w:rFonts w:ascii="Arial" w:cs="Arial" w:eastAsia="Arial" w:hAnsi="Arial"/>
          <w:sz w:val="17"/>
          <w:szCs w:val="17"/>
          <w:color w:val="010000"/>
        </w:rPr>
      </w:pPr>
      <w:r>
        <w:rPr>
          <w:rFonts w:ascii="Arial" w:cs="Arial" w:eastAsia="Arial" w:hAnsi="Arial"/>
          <w:sz w:val="17"/>
          <w:szCs w:val="17"/>
          <w:color w:val="auto"/>
        </w:rPr>
        <w:t xml:space="preserve">Upon the effectiveness of this Amendment, the Credit Agreement is hereby amended (a) to delete the red or green stricken text (indicated textually in the same manner as the following examples: </w:t>
      </w:r>
      <w:r>
        <w:rPr>
          <w:rFonts w:ascii="Arial" w:cs="Arial" w:eastAsia="Arial" w:hAnsi="Arial"/>
          <w:sz w:val="17"/>
          <w:szCs w:val="17"/>
          <w:color w:val="FF0000"/>
          <w:strike w:val="1"/>
        </w:rPr>
        <w:t>stricken text</w:t>
      </w:r>
      <w:r>
        <w:rPr>
          <w:rFonts w:ascii="Arial" w:cs="Arial" w:eastAsia="Arial" w:hAnsi="Arial"/>
          <w:sz w:val="17"/>
          <w:szCs w:val="17"/>
          <w:color w:val="auto"/>
        </w:rPr>
        <w:t xml:space="preserve"> and </w:t>
      </w:r>
      <w:r>
        <w:rPr>
          <w:rFonts w:ascii="Arial" w:cs="Arial" w:eastAsia="Arial" w:hAnsi="Arial"/>
          <w:sz w:val="17"/>
          <w:szCs w:val="17"/>
          <w:color w:val="00B050"/>
          <w:strike w:val="1"/>
        </w:rPr>
        <w:t>stricken text</w:t>
      </w:r>
      <w:r>
        <w:rPr>
          <w:rFonts w:ascii="Arial" w:cs="Arial" w:eastAsia="Arial" w:hAnsi="Arial"/>
          <w:sz w:val="17"/>
          <w:szCs w:val="17"/>
          <w:color w:val="auto"/>
        </w:rPr>
        <w:t xml:space="preserve">) and (b) to add the blue or green double-underlined text (indicated textually in the same manner as the following examples: </w:t>
      </w:r>
      <w:r>
        <w:rPr>
          <w:rFonts w:ascii="Arial" w:cs="Arial" w:eastAsia="Arial" w:hAnsi="Arial"/>
          <w:sz w:val="17"/>
          <w:szCs w:val="17"/>
          <w:u w:val="single" w:color="auto"/>
          <w:color w:val="0000FF"/>
        </w:rPr>
        <w:t>double-underlined text</w:t>
      </w:r>
      <w:r>
        <w:rPr>
          <w:rFonts w:ascii="Arial" w:cs="Arial" w:eastAsia="Arial" w:hAnsi="Arial"/>
          <w:sz w:val="17"/>
          <w:szCs w:val="17"/>
          <w:color w:val="auto"/>
        </w:rPr>
        <w:t xml:space="preserve"> and </w:t>
      </w:r>
      <w:r>
        <w:rPr>
          <w:rFonts w:ascii="Arial" w:cs="Arial" w:eastAsia="Arial" w:hAnsi="Arial"/>
          <w:sz w:val="17"/>
          <w:szCs w:val="17"/>
          <w:u w:val="single" w:color="auto"/>
          <w:color w:val="00B050"/>
        </w:rPr>
        <w:t>double-underlined text</w:t>
      </w:r>
      <w:r>
        <w:rPr>
          <w:rFonts w:ascii="Arial" w:cs="Arial" w:eastAsia="Arial" w:hAnsi="Arial"/>
          <w:sz w:val="17"/>
          <w:szCs w:val="17"/>
          <w:color w:val="auto"/>
        </w:rPr>
        <w:t xml:space="preserve">), in each case, as set forth in the marked copy of the Credit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made a part hereof for all purposes.</w:t>
      </w:r>
    </w:p>
    <w:p>
      <w:pPr>
        <w:spacing w:after="0" w:line="171" w:lineRule="exact"/>
        <w:rPr>
          <w:rFonts w:ascii="Arial" w:cs="Arial" w:eastAsia="Arial" w:hAnsi="Arial"/>
          <w:sz w:val="17"/>
          <w:szCs w:val="17"/>
          <w:color w:val="010000"/>
        </w:rPr>
      </w:pPr>
    </w:p>
    <w:p>
      <w:pPr>
        <w:ind w:left="1440" w:hanging="784"/>
        <w:spacing w:after="0"/>
        <w:tabs>
          <w:tab w:leader="none" w:pos="1440" w:val="left"/>
        </w:tabs>
        <w:numPr>
          <w:ilvl w:val="0"/>
          <w:numId w:val="208"/>
        </w:numPr>
        <w:rPr>
          <w:rFonts w:ascii="Arial" w:cs="Arial" w:eastAsia="Arial" w:hAnsi="Arial"/>
          <w:sz w:val="18"/>
          <w:szCs w:val="18"/>
          <w:color w:val="010000"/>
        </w:rPr>
      </w:pPr>
      <w:r>
        <w:rPr>
          <w:rFonts w:ascii="Arial" w:cs="Arial" w:eastAsia="Arial" w:hAnsi="Arial"/>
          <w:sz w:val="18"/>
          <w:szCs w:val="18"/>
          <w:u w:val="single" w:color="auto"/>
          <w:color w:val="auto"/>
        </w:rPr>
        <w:t>Schedule C-1</w:t>
      </w:r>
      <w:r>
        <w:rPr>
          <w:rFonts w:ascii="Arial" w:cs="Arial" w:eastAsia="Arial" w:hAnsi="Arial"/>
          <w:sz w:val="18"/>
          <w:szCs w:val="18"/>
          <w:color w:val="auto"/>
        </w:rPr>
        <w:t xml:space="preserve"> to the Credit Agreement is hereby replaced with </w:t>
      </w:r>
      <w:r>
        <w:rPr>
          <w:rFonts w:ascii="Arial" w:cs="Arial" w:eastAsia="Arial" w:hAnsi="Arial"/>
          <w:sz w:val="18"/>
          <w:szCs w:val="18"/>
          <w:u w:val="single" w:color="auto"/>
          <w:color w:val="auto"/>
        </w:rPr>
        <w:t>Schedule C-1</w:t>
      </w:r>
      <w:r>
        <w:rPr>
          <w:rFonts w:ascii="Arial" w:cs="Arial" w:eastAsia="Arial" w:hAnsi="Arial"/>
          <w:sz w:val="18"/>
          <w:szCs w:val="18"/>
          <w:color w:val="auto"/>
        </w:rPr>
        <w:t xml:space="preserve"> to this Amendment.</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010000"/>
        </w:rPr>
        <w:t>Section 2:</w:t>
      </w:r>
      <w:r>
        <w:rPr>
          <w:sz w:val="20"/>
          <w:szCs w:val="20"/>
          <w:color w:val="auto"/>
        </w:rPr>
        <w:tab/>
      </w:r>
      <w:r>
        <w:rPr>
          <w:rFonts w:ascii="Arial" w:cs="Arial" w:eastAsia="Arial" w:hAnsi="Arial"/>
          <w:sz w:val="15"/>
          <w:szCs w:val="15"/>
          <w:u w:val="single" w:color="auto"/>
          <w:color w:val="auto"/>
        </w:rPr>
        <w:t>Joinders</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77" w:lineRule="auto"/>
        <w:tabs>
          <w:tab w:leader="none" w:pos="1519" w:val="left"/>
        </w:tabs>
        <w:numPr>
          <w:ilvl w:val="0"/>
          <w:numId w:val="209"/>
        </w:numPr>
        <w:rPr>
          <w:rFonts w:ascii="Arial" w:cs="Arial" w:eastAsia="Arial" w:hAnsi="Arial"/>
          <w:sz w:val="18"/>
          <w:szCs w:val="18"/>
          <w:color w:val="010000"/>
        </w:rPr>
      </w:pPr>
      <w:r>
        <w:rPr>
          <w:rFonts w:ascii="Arial" w:cs="Arial" w:eastAsia="Arial" w:hAnsi="Arial"/>
          <w:sz w:val="18"/>
          <w:szCs w:val="18"/>
          <w:color w:val="auto"/>
        </w:rPr>
        <w:t>Each New Guarantor, for value received, jointly and severally agrees to become a Guarantor under the Credit Agreement pursuant to the following terms and conditions hereof:</w:t>
      </w:r>
    </w:p>
    <w:p>
      <w:pPr>
        <w:spacing w:after="0" w:line="170" w:lineRule="exact"/>
        <w:rPr>
          <w:rFonts w:ascii="Arial" w:cs="Arial" w:eastAsia="Arial" w:hAnsi="Arial"/>
          <w:sz w:val="18"/>
          <w:szCs w:val="18"/>
          <w:color w:val="010000"/>
        </w:rPr>
      </w:pPr>
    </w:p>
    <w:p>
      <w:pPr>
        <w:jc w:val="both"/>
        <w:ind w:left="660" w:firstLine="644"/>
        <w:spacing w:after="0" w:line="257" w:lineRule="auto"/>
        <w:tabs>
          <w:tab w:leader="none" w:pos="2045" w:val="left"/>
        </w:tabs>
        <w:numPr>
          <w:ilvl w:val="1"/>
          <w:numId w:val="209"/>
        </w:numPr>
        <w:rPr>
          <w:rFonts w:ascii="Arial" w:cs="Arial" w:eastAsia="Arial" w:hAnsi="Arial"/>
          <w:sz w:val="18"/>
          <w:szCs w:val="18"/>
          <w:color w:val="010000"/>
        </w:rPr>
      </w:pPr>
      <w:r>
        <w:rPr>
          <w:rFonts w:ascii="Arial" w:cs="Arial" w:eastAsia="Arial" w:hAnsi="Arial"/>
          <w:sz w:val="18"/>
          <w:szCs w:val="18"/>
          <w:color w:val="auto"/>
        </w:rPr>
        <w:t>Each Existing Loan Party, Agent and the Lenders, which constitute all of the parties to the Credit Agreement hereby amend the Credit Agreement to reflect that each New Guarantor is hereby a Guarantor in, under and pursuant to the Credit Agreement with all the obligations, liabilities and duties of a Guarantor thereunder, and each New Guarantor hereby agrees that it is a Guarantor in, under and pursuant to the Credit Agreement, with all the obligations, liabilities and duties of a Guarantor thereunder, in each case regardless of when such obligations, liabilities and duties first arose.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[AerSale]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6" w:name="page287"/>
    <w:bookmarkEnd w:id="286"/>
    <w:p>
      <w:pPr>
        <w:jc w:val="both"/>
        <w:ind w:left="660" w:firstLine="644"/>
        <w:spacing w:after="0" w:line="296" w:lineRule="auto"/>
        <w:tabs>
          <w:tab w:leader="none" w:pos="2162" w:val="left"/>
        </w:tabs>
        <w:numPr>
          <w:ilvl w:val="1"/>
          <w:numId w:val="210"/>
        </w:numPr>
        <w:rPr>
          <w:rFonts w:ascii="Arial" w:cs="Arial" w:eastAsia="Arial" w:hAnsi="Arial"/>
          <w:sz w:val="16"/>
          <w:szCs w:val="16"/>
          <w:color w:val="010000"/>
        </w:rPr>
      </w:pPr>
      <w:r>
        <w:rPr>
          <w:rFonts w:ascii="Arial" w:cs="Arial" w:eastAsia="Arial" w:hAnsi="Arial"/>
          <w:sz w:val="16"/>
          <w:szCs w:val="16"/>
          <w:color w:val="auto"/>
        </w:rPr>
        <w:t>Each New Guarantor jointly and severally, (i) joins in, becomes a party to, and agrees to comply with and be bound by, as a Guarantor, the terms and conditions of the Credit Agreement to the same extent as if such New Guarantor was an original signatory thereto as a “Parent”, and (ii) makes all representations, warranties, indemnities, undertakings, covenants, limitations, waivers, exclusions, acknowledgements and agreements under the Credit Agreement applicable to a “Parent”. Each New Guarantor acknowledges and confirms that it has received a copy of the Credit Agreement, including the exhibits, schedules and other attachments thereto, and the other Loan Documents.</w:t>
      </w:r>
    </w:p>
    <w:p>
      <w:pPr>
        <w:spacing w:after="0" w:line="161" w:lineRule="exact"/>
        <w:rPr>
          <w:rFonts w:ascii="Arial" w:cs="Arial" w:eastAsia="Arial" w:hAnsi="Arial"/>
          <w:sz w:val="16"/>
          <w:szCs w:val="16"/>
          <w:color w:val="010000"/>
        </w:rPr>
      </w:pPr>
    </w:p>
    <w:p>
      <w:pPr>
        <w:ind w:firstLine="656"/>
        <w:spacing w:after="0" w:line="277" w:lineRule="auto"/>
        <w:tabs>
          <w:tab w:leader="none" w:pos="1603" w:val="left"/>
        </w:tabs>
        <w:numPr>
          <w:ilvl w:val="0"/>
          <w:numId w:val="211"/>
        </w:numPr>
        <w:rPr>
          <w:rFonts w:ascii="Arial" w:cs="Arial" w:eastAsia="Arial" w:hAnsi="Arial"/>
          <w:sz w:val="18"/>
          <w:szCs w:val="18"/>
          <w:color w:val="010000"/>
        </w:rPr>
      </w:pPr>
      <w:r>
        <w:rPr>
          <w:rFonts w:ascii="Arial" w:cs="Arial" w:eastAsia="Arial" w:hAnsi="Arial"/>
          <w:sz w:val="18"/>
          <w:szCs w:val="18"/>
          <w:color w:val="auto"/>
        </w:rPr>
        <w:t>New Borrower, for value received, jointly and severally agrees to become a Borrower under the Credit Agreement pursuant to the following terms and conditions hereof:</w:t>
      </w:r>
    </w:p>
    <w:p>
      <w:pPr>
        <w:spacing w:after="0" w:line="170" w:lineRule="exact"/>
        <w:rPr>
          <w:rFonts w:ascii="Arial" w:cs="Arial" w:eastAsia="Arial" w:hAnsi="Arial"/>
          <w:sz w:val="18"/>
          <w:szCs w:val="18"/>
          <w:color w:val="010000"/>
        </w:rPr>
      </w:pPr>
    </w:p>
    <w:p>
      <w:pPr>
        <w:jc w:val="both"/>
        <w:ind w:left="660" w:firstLine="644"/>
        <w:spacing w:after="0" w:line="257" w:lineRule="auto"/>
        <w:tabs>
          <w:tab w:leader="none" w:pos="2045" w:val="left"/>
        </w:tabs>
        <w:numPr>
          <w:ilvl w:val="1"/>
          <w:numId w:val="211"/>
        </w:numPr>
        <w:rPr>
          <w:rFonts w:ascii="Arial" w:cs="Arial" w:eastAsia="Arial" w:hAnsi="Arial"/>
          <w:sz w:val="18"/>
          <w:szCs w:val="18"/>
          <w:color w:val="010000"/>
        </w:rPr>
      </w:pPr>
      <w:r>
        <w:rPr>
          <w:rFonts w:ascii="Arial" w:cs="Arial" w:eastAsia="Arial" w:hAnsi="Arial"/>
          <w:sz w:val="18"/>
          <w:szCs w:val="18"/>
          <w:color w:val="auto"/>
        </w:rPr>
        <w:t>Each Existing Loan Party, Agent and the Lenders, which constitute all of the parties to the Credit Agreement hereby amend the Credit Agreement to reflect that New Borrower is hereby a Borrower in, under and pursuant to the Credit Agreement with all the obligations, liabilities and duties of a Borrower thereunder, and New Borrower hereby agrees that it is a Borrower in, under and pursuant to the Credit Agreement, with all the obligations, liabilities and duties of a Borrower thereunder, in each case regardless of when such obligations, liabilities and duties first arose.</w:t>
      </w:r>
    </w:p>
    <w:p>
      <w:pPr>
        <w:spacing w:after="0" w:line="187" w:lineRule="exact"/>
        <w:rPr>
          <w:rFonts w:ascii="Arial" w:cs="Arial" w:eastAsia="Arial" w:hAnsi="Arial"/>
          <w:sz w:val="18"/>
          <w:szCs w:val="18"/>
          <w:color w:val="010000"/>
        </w:rPr>
      </w:pPr>
    </w:p>
    <w:p>
      <w:pPr>
        <w:jc w:val="both"/>
        <w:ind w:left="660" w:firstLine="644"/>
        <w:spacing w:after="0" w:line="296" w:lineRule="auto"/>
        <w:tabs>
          <w:tab w:leader="none" w:pos="2324" w:val="left"/>
        </w:tabs>
        <w:numPr>
          <w:ilvl w:val="1"/>
          <w:numId w:val="211"/>
        </w:numPr>
        <w:rPr>
          <w:rFonts w:ascii="Arial" w:cs="Arial" w:eastAsia="Arial" w:hAnsi="Arial"/>
          <w:sz w:val="16"/>
          <w:szCs w:val="16"/>
          <w:color w:val="010000"/>
        </w:rPr>
      </w:pPr>
      <w:r>
        <w:rPr>
          <w:rFonts w:ascii="Arial" w:cs="Arial" w:eastAsia="Arial" w:hAnsi="Arial"/>
          <w:sz w:val="16"/>
          <w:szCs w:val="16"/>
          <w:color w:val="auto"/>
        </w:rPr>
        <w:t>New Borrower jointly and severally, (i) joins in, becomes a party to, and agrees to comply with and be bound by, as a Borrower, the terms and conditions of the Credit Agreement to the same extent as if New Borrower was an original signatory thereto as a “Borrower”, and (ii) makes all representations, warranties, indemnities, undertakings, covenants, limitations, waivers, exclusions, acknowledgements and agreements under the Credit Agreement applicable to a “Borrower”. New Borrower acknowledges and confirms that it has received a copy of the Credit Agreement, including the exhibits, schedules and other attachments thereto, and the other Loan Documents.</w:t>
      </w:r>
    </w:p>
    <w:p>
      <w:pPr>
        <w:spacing w:after="0" w:line="161" w:lineRule="exact"/>
        <w:rPr>
          <w:rFonts w:ascii="Arial" w:cs="Arial" w:eastAsia="Arial" w:hAnsi="Arial"/>
          <w:sz w:val="16"/>
          <w:szCs w:val="16"/>
          <w:color w:val="010000"/>
        </w:rPr>
      </w:pPr>
    </w:p>
    <w:p>
      <w:pPr>
        <w:jc w:val="both"/>
        <w:ind w:firstLine="656"/>
        <w:spacing w:after="0" w:line="259" w:lineRule="auto"/>
        <w:tabs>
          <w:tab w:leader="none" w:pos="1495" w:val="left"/>
        </w:tabs>
        <w:numPr>
          <w:ilvl w:val="0"/>
          <w:numId w:val="211"/>
        </w:numPr>
        <w:rPr>
          <w:rFonts w:ascii="Arial" w:cs="Arial" w:eastAsia="Arial" w:hAnsi="Arial"/>
          <w:sz w:val="18"/>
          <w:szCs w:val="18"/>
          <w:color w:val="010000"/>
        </w:rPr>
      </w:pPr>
      <w:r>
        <w:rPr>
          <w:rFonts w:ascii="Arial" w:cs="Arial" w:eastAsia="Arial" w:hAnsi="Arial"/>
          <w:sz w:val="18"/>
          <w:szCs w:val="18"/>
          <w:color w:val="auto"/>
        </w:rPr>
        <w:t>Each Existing Loan Party hereby acknowledges and confirms (i) the joinder by each New Guarantor and New Borrower to the Credit Agreement, and (ii) that, all of its obligations under the Credit Agreement and the other Loan Documents, upon such New Guarantor becoming a Guarantor thereunder, New Borrower becoming a Borrower thereunder, or otherwise party thereto pursuant to the terms hereof, shall continue to be in full force and effect.</w:t>
      </w:r>
    </w:p>
    <w:p>
      <w:pPr>
        <w:spacing w:after="0" w:line="18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010000"/>
        </w:rPr>
        <w:t>Section 3:</w:t>
      </w:r>
      <w:r>
        <w:rPr>
          <w:sz w:val="20"/>
          <w:szCs w:val="20"/>
          <w:color w:val="auto"/>
        </w:rPr>
        <w:tab/>
      </w:r>
      <w:r>
        <w:rPr>
          <w:rFonts w:ascii="Arial" w:cs="Arial" w:eastAsia="Arial" w:hAnsi="Arial"/>
          <w:sz w:val="16"/>
          <w:szCs w:val="16"/>
          <w:u w:val="single" w:color="auto"/>
          <w:color w:val="auto"/>
        </w:rPr>
        <w:t>Joinder of New Lenders; Reallocation of the Advances and the Commitment Amounts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7" w:lineRule="auto"/>
        <w:tabs>
          <w:tab w:leader="none" w:pos="1451" w:val="left"/>
        </w:tabs>
        <w:numPr>
          <w:ilvl w:val="0"/>
          <w:numId w:val="212"/>
        </w:numPr>
        <w:rPr>
          <w:rFonts w:ascii="Arial" w:cs="Arial" w:eastAsia="Arial" w:hAnsi="Arial"/>
          <w:sz w:val="16"/>
          <w:szCs w:val="16"/>
          <w:color w:val="010000"/>
        </w:rPr>
      </w:pPr>
      <w:r>
        <w:rPr>
          <w:rFonts w:ascii="Arial" w:cs="Arial" w:eastAsia="Arial" w:hAnsi="Arial"/>
          <w:sz w:val="16"/>
          <w:szCs w:val="16"/>
          <w:color w:val="auto"/>
        </w:rPr>
        <w:t>Subject to the terms and conditions hereof and of the Credit Agreement, each person signatory hereto as a “New Lender” (each a “</w:t>
      </w:r>
      <w:r>
        <w:rPr>
          <w:rFonts w:ascii="Arial" w:cs="Arial" w:eastAsia="Arial" w:hAnsi="Arial"/>
          <w:sz w:val="16"/>
          <w:szCs w:val="16"/>
          <w:u w:val="single" w:color="auto"/>
          <w:color w:val="auto"/>
        </w:rPr>
        <w:t>New</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hereby agrees to become a Lender under the Credit Agreement with a Revolver Commitment as set forth in </w:t>
      </w:r>
      <w:r>
        <w:rPr>
          <w:rFonts w:ascii="Arial" w:cs="Arial" w:eastAsia="Arial" w:hAnsi="Arial"/>
          <w:sz w:val="16"/>
          <w:szCs w:val="16"/>
          <w:u w:val="single" w:color="auto"/>
          <w:color w:val="auto"/>
        </w:rPr>
        <w:t>Schedule C-1</w:t>
      </w:r>
      <w:r>
        <w:rPr>
          <w:rFonts w:ascii="Arial" w:cs="Arial" w:eastAsia="Arial" w:hAnsi="Arial"/>
          <w:sz w:val="16"/>
          <w:szCs w:val="16"/>
          <w:color w:val="auto"/>
        </w:rPr>
        <w:t xml:space="preserve"> hereto. Each New Lender (a) confirms that it has received copies of the Credit Agreement and the other Loan Documents, together with copies of the financial statements referred to therein and such other documents and information as it has deemed appropriate to make its own credit analysis and decision to enter into this Amendment; (b) agrees that it will, independently and without reliance upon Agent or any other Lender, based upon such documents and information as it shall deem appropriate at the time, continue to make its own credit decisions in taking or not taking any action under the Loan Documents; (c) confirms that it is not a Disqualified Institution, natural person, Loan Party, Affiliate of a Loan Party or any Sponsor Affiliated Entity; (d) appoints and authorizes the Agent to take such action as agent on its behalf and to exercise such powers under the Loan Documents as are delegated to Agent by the terms thereof, together with such powers as are reasonably incidental thereto; and (e) agrees that it will perform in accordance with their terms all of the obligations which by the terms of the Loan Documents are required to be performed by it as a Lender. From and after the Second Amendment Effective Date, each New Lender shall be deemed to be and shall enjoy all rights, benefits and privileges of a “Lender” under and in respect of the Loan Documents and each reference to the “Lenders” in the Loan Documents shall be deemed to include each New Lender.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[AerSale]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7" w:name="page288"/>
    <w:bookmarkEnd w:id="287"/>
    <w:p>
      <w:pPr>
        <w:jc w:val="both"/>
        <w:ind w:firstLine="656"/>
        <w:spacing w:after="0" w:line="269" w:lineRule="auto"/>
        <w:tabs>
          <w:tab w:leader="none" w:pos="1792" w:val="left"/>
        </w:tabs>
        <w:numPr>
          <w:ilvl w:val="0"/>
          <w:numId w:val="213"/>
        </w:numPr>
        <w:rPr>
          <w:rFonts w:ascii="Arial" w:cs="Arial" w:eastAsia="Arial" w:hAnsi="Arial"/>
          <w:sz w:val="17"/>
          <w:szCs w:val="17"/>
          <w:color w:val="010000"/>
        </w:rPr>
      </w:pPr>
      <w:r>
        <w:rPr>
          <w:rFonts w:ascii="Arial" w:cs="Arial" w:eastAsia="Arial" w:hAnsi="Arial"/>
          <w:sz w:val="17"/>
          <w:szCs w:val="17"/>
          <w:color w:val="auto"/>
        </w:rPr>
        <w:t xml:space="preserve">On the Second Amendment Effective Date, the Lenders party to this Amendment shall, by assignments among them (which assignments shall be deemed to occur hereunder automatically, and without any requirement for additional documentation, on the Second Amendment Effective Date), acquire or dispose of a portion of the Revolving Loans and Revolver Commitments, as applicable, and shall, through Agent, make such other adjustments among themselves as may be necessary so that after giving effect to such assignments and adjustments (a) and the Commitments of Lenders not party to the Credit Agreement prior to giving effect to this Amendment, all Lenders shall hold all Revolving Loans outstanding under this Agreement ratably in accordance with their respective Commitments as reflected on </w:t>
      </w:r>
      <w:r>
        <w:rPr>
          <w:rFonts w:ascii="Arial" w:cs="Arial" w:eastAsia="Arial" w:hAnsi="Arial"/>
          <w:sz w:val="17"/>
          <w:szCs w:val="17"/>
          <w:u w:val="single" w:color="auto"/>
          <w:color w:val="auto"/>
        </w:rPr>
        <w:t>Schedule C-1</w:t>
      </w:r>
      <w:r>
        <w:rPr>
          <w:rFonts w:ascii="Arial" w:cs="Arial" w:eastAsia="Arial" w:hAnsi="Arial"/>
          <w:sz w:val="17"/>
          <w:szCs w:val="17"/>
          <w:color w:val="auto"/>
        </w:rPr>
        <w:t xml:space="preserve"> hereto and (b) the persons signatory hereto as Exiting Lenders shall have no Commitments. On the Second Amendment Effective Date, all Interest Periods in respect of any LIBOR Rate Loans under the Credit Agreement that were required to be assigned as set forth above shall automatically be terminated solely with respect to any such Lender that has assigned any such LIBOR Rate Loans (but not with respect to any Lender that is an assignee of any such Lender). Borrowers shall on the Second Amendment Effective Date, as applicable, make payments to the Lenders that held such LIBOR Rate Loans under the Credit Agreement prior to giving effect to this Amendment that were required to be assigned as set forth above to compensate for such termination as if such termination were a payment or prepayment referred to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the Credit Agreement.</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010000"/>
        </w:rPr>
        <w:t xml:space="preserve">Section 4: </w:t>
      </w:r>
      <w:r>
        <w:rPr>
          <w:rFonts w:ascii="Arial" w:cs="Arial" w:eastAsia="Arial" w:hAnsi="Arial"/>
          <w:sz w:val="17"/>
          <w:szCs w:val="17"/>
          <w:u w:val="single" w:color="auto"/>
          <w:color w:val="000000"/>
        </w:rPr>
        <w:t>Waiver of Known Existing Defaults</w:t>
      </w:r>
      <w:r>
        <w:rPr>
          <w:rFonts w:ascii="Arial" w:cs="Arial" w:eastAsia="Arial" w:hAnsi="Arial"/>
          <w:sz w:val="17"/>
          <w:szCs w:val="17"/>
          <w:color w:val="000000"/>
        </w:rPr>
        <w:t>. Agent and the Lenders hereby waive the Known Existing Defaults;</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00"/>
        </w:rPr>
        <w:t>,</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nothing</w:t>
      </w:r>
      <w:r>
        <w:rPr>
          <w:rFonts w:ascii="Arial" w:cs="Arial" w:eastAsia="Arial" w:hAnsi="Arial"/>
          <w:sz w:val="17"/>
          <w:szCs w:val="17"/>
          <w:color w:val="010000"/>
        </w:rPr>
        <w:t xml:space="preserve"> </w:t>
      </w:r>
      <w:r>
        <w:rPr>
          <w:rFonts w:ascii="Arial" w:cs="Arial" w:eastAsia="Arial" w:hAnsi="Arial"/>
          <w:sz w:val="17"/>
          <w:szCs w:val="17"/>
          <w:color w:val="000000"/>
        </w:rPr>
        <w:t>herein shall be deemed a waiver with respect to any other or future failure of the Loan Parties to comply fully with Section 7(l) of the Guaranty and Security Agreement or Section 5.11 of the Credit Agreement. This waiver shall be effective only for the specific defaults comprising the Known Existing Defaults, and in no event shall this waiver be deemed to be a waiver of Agent's or any Lender's rights with respect to any other Defaults or Events of Default now existing or hereafter arising, whether known or unknown. Nothing contained in this Amendment nor any communications between any Loan Party and Agent or any Lender shall be a waiver of any rights or remedies Agent or any Lender has or may have against any Loan Party, except as specifically provided herein. Except as specifically provided herein, each of Agent and each Lender hereby reserves and preserves all of its rights and remedies against each Loan Party under the Credit Agreement and the other Loan Documents.</w:t>
      </w:r>
    </w:p>
    <w:p>
      <w:pPr>
        <w:spacing w:after="0" w:line="17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010000"/>
        </w:rPr>
        <w:t>Section 5:</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Loan Parties hereby represent and warrant to the Agent and the Required Lenders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[AerSale]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8" w:name="page289"/>
    <w:bookmarkEnd w:id="288"/>
    <w:p>
      <w:pPr>
        <w:ind w:left="2020" w:hanging="716"/>
        <w:spacing w:after="0"/>
        <w:tabs>
          <w:tab w:leader="none" w:pos="2020" w:val="left"/>
        </w:tabs>
        <w:numPr>
          <w:ilvl w:val="0"/>
          <w:numId w:val="214"/>
        </w:numPr>
        <w:rPr>
          <w:rFonts w:ascii="Arial" w:cs="Arial" w:eastAsia="Arial" w:hAnsi="Arial"/>
          <w:sz w:val="18"/>
          <w:szCs w:val="18"/>
          <w:color w:val="010000"/>
        </w:rPr>
      </w:pPr>
      <w:r>
        <w:rPr>
          <w:rFonts w:ascii="Arial" w:cs="Arial" w:eastAsia="Arial" w:hAnsi="Arial"/>
          <w:sz w:val="18"/>
          <w:szCs w:val="18"/>
          <w:color w:val="auto"/>
        </w:rPr>
        <w:t>After giving effect to this Amendment, no Default or Event of Default has occurred and is continuing.</w:t>
      </w:r>
    </w:p>
    <w:p>
      <w:pPr>
        <w:spacing w:after="0" w:line="225" w:lineRule="exact"/>
        <w:rPr>
          <w:rFonts w:ascii="Arial" w:cs="Arial" w:eastAsia="Arial" w:hAnsi="Arial"/>
          <w:sz w:val="18"/>
          <w:szCs w:val="18"/>
          <w:color w:val="010000"/>
        </w:rPr>
      </w:pPr>
    </w:p>
    <w:p>
      <w:pPr>
        <w:jc w:val="both"/>
        <w:ind w:left="660" w:firstLine="644"/>
        <w:spacing w:after="0" w:line="289" w:lineRule="auto"/>
        <w:tabs>
          <w:tab w:leader="none" w:pos="2270" w:val="left"/>
        </w:tabs>
        <w:numPr>
          <w:ilvl w:val="0"/>
          <w:numId w:val="214"/>
        </w:numPr>
        <w:rPr>
          <w:rFonts w:ascii="Arial" w:cs="Arial" w:eastAsia="Arial" w:hAnsi="Arial"/>
          <w:sz w:val="16"/>
          <w:szCs w:val="16"/>
          <w:color w:val="010000"/>
        </w:rPr>
      </w:pPr>
      <w:r>
        <w:rPr>
          <w:rFonts w:ascii="Arial" w:cs="Arial" w:eastAsia="Arial" w:hAnsi="Arial"/>
          <w:sz w:val="16"/>
          <w:szCs w:val="16"/>
          <w:color w:val="auto"/>
        </w:rPr>
        <w:t>The execution, delivery and performance by each of the Loan Parties of this Amendment and the other Loan Documents executed in connection herewith are within the scope of its corporate or other organizational power, and have been duly authorized by all necessary corporate or organizational action, and no material authorizations, approvals or consents of, and no filings or registrations with, any governmental or regulatory authority or agency are necessary for the execution or delivery of this Amendment and the other Loan Documents executed in connection herewith or for the validity or enforceability hereof and thereof except for those which been duly obtained, made or complied with prior to the date hereof. The Credit Agreement, as amended by this Amendment, constitutes the legal, valid and binding obligations of each Loan Party, enforceable against it in accordance with its terms, except as such enforceability may be limited by (i) bankruptcy, insolvency, examinership, reorganization, moratorium or other similar laws of general applicability affecting the enforcement of creditors’ rights and (ii) the application of general principles of equity (regardless of whether such enforceability is considered in a proceeding in equity or at law).</w:t>
      </w:r>
    </w:p>
    <w:p>
      <w:pPr>
        <w:spacing w:after="0" w:line="166" w:lineRule="exact"/>
        <w:rPr>
          <w:rFonts w:ascii="Arial" w:cs="Arial" w:eastAsia="Arial" w:hAnsi="Arial"/>
          <w:sz w:val="16"/>
          <w:szCs w:val="16"/>
          <w:color w:val="010000"/>
        </w:rPr>
      </w:pPr>
    </w:p>
    <w:p>
      <w:pPr>
        <w:ind w:left="660" w:firstLine="644"/>
        <w:spacing w:after="0" w:line="277" w:lineRule="auto"/>
        <w:tabs>
          <w:tab w:leader="none" w:pos="2118" w:val="left"/>
        </w:tabs>
        <w:numPr>
          <w:ilvl w:val="0"/>
          <w:numId w:val="214"/>
        </w:numPr>
        <w:rPr>
          <w:rFonts w:ascii="Arial" w:cs="Arial" w:eastAsia="Arial" w:hAnsi="Arial"/>
          <w:sz w:val="18"/>
          <w:szCs w:val="18"/>
          <w:color w:val="010000"/>
        </w:rPr>
      </w:pPr>
      <w:r>
        <w:rPr>
          <w:rFonts w:ascii="Arial" w:cs="Arial" w:eastAsia="Arial" w:hAnsi="Arial"/>
          <w:sz w:val="18"/>
          <w:szCs w:val="18"/>
          <w:color w:val="auto"/>
        </w:rPr>
        <w:t>The persons executing this Amendment and the other Loan Documents executed in connection herewith are duly authorized to execute this Amendment and the other Loan Documents executed in connection herewith and bind each Loan Party.</w:t>
      </w:r>
    </w:p>
    <w:p>
      <w:pPr>
        <w:spacing w:after="0" w:line="170" w:lineRule="exact"/>
        <w:rPr>
          <w:rFonts w:ascii="Arial" w:cs="Arial" w:eastAsia="Arial" w:hAnsi="Arial"/>
          <w:sz w:val="18"/>
          <w:szCs w:val="18"/>
          <w:color w:val="010000"/>
        </w:rPr>
      </w:pPr>
    </w:p>
    <w:p>
      <w:pPr>
        <w:jc w:val="both"/>
        <w:ind w:left="660" w:firstLine="644"/>
        <w:spacing w:after="0" w:line="263" w:lineRule="auto"/>
        <w:tabs>
          <w:tab w:leader="none" w:pos="2121" w:val="left"/>
        </w:tabs>
        <w:numPr>
          <w:ilvl w:val="0"/>
          <w:numId w:val="214"/>
        </w:numPr>
        <w:rPr>
          <w:rFonts w:ascii="Arial" w:cs="Arial" w:eastAsia="Arial" w:hAnsi="Arial"/>
          <w:sz w:val="18"/>
          <w:szCs w:val="18"/>
          <w:color w:val="010000"/>
        </w:rPr>
      </w:pPr>
      <w:r>
        <w:rPr>
          <w:rFonts w:ascii="Arial" w:cs="Arial" w:eastAsia="Arial" w:hAnsi="Arial"/>
          <w:sz w:val="18"/>
          <w:szCs w:val="18"/>
          <w:color w:val="auto"/>
        </w:rPr>
        <w:t>All representations and warranties of each Loan Party contained in the Credit Agreement and those set forth herein (other than the representations or warranties expressly made only on and as of the Closing Date) are true and correct in all material respects on and as of the date hereof with the same force and effect as if made on and as of the date hereof.</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010000"/>
        </w:rPr>
        <w:t xml:space="preserve">Section 6: </w:t>
      </w:r>
      <w:r>
        <w:rPr>
          <w:rFonts w:ascii="Arial" w:cs="Arial" w:eastAsia="Arial" w:hAnsi="Arial"/>
          <w:sz w:val="18"/>
          <w:szCs w:val="18"/>
          <w:u w:val="single" w:color="auto"/>
          <w:color w:val="000000"/>
        </w:rPr>
        <w:t>No Other Amendments or Waivers; Confirmation</w:t>
      </w:r>
      <w:r>
        <w:rPr>
          <w:rFonts w:ascii="Arial" w:cs="Arial" w:eastAsia="Arial" w:hAnsi="Arial"/>
          <w:sz w:val="18"/>
          <w:szCs w:val="18"/>
          <w:color w:val="000000"/>
        </w:rPr>
        <w:t>. Except as expressly amended hereby, the provisions of the Credit Agreement are and</w:t>
      </w:r>
      <w:r>
        <w:rPr>
          <w:rFonts w:ascii="Arial" w:cs="Arial" w:eastAsia="Arial" w:hAnsi="Arial"/>
          <w:sz w:val="18"/>
          <w:szCs w:val="18"/>
          <w:color w:val="010000"/>
        </w:rPr>
        <w:t xml:space="preserve"> </w:t>
      </w:r>
      <w:r>
        <w:rPr>
          <w:rFonts w:ascii="Arial" w:cs="Arial" w:eastAsia="Arial" w:hAnsi="Arial"/>
          <w:sz w:val="18"/>
          <w:szCs w:val="18"/>
          <w:color w:val="000000"/>
        </w:rPr>
        <w:t>shall remain in full force and effect without modification or waiver.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010000"/>
        </w:rPr>
        <w:t xml:space="preserve">Section 7: </w:t>
      </w:r>
      <w:r>
        <w:rPr>
          <w:rFonts w:ascii="Arial" w:cs="Arial" w:eastAsia="Arial" w:hAnsi="Arial"/>
          <w:sz w:val="17"/>
          <w:szCs w:val="17"/>
          <w:u w:val="single" w:color="auto"/>
          <w:color w:val="000000"/>
        </w:rPr>
        <w:t>Effectiveness</w:t>
      </w:r>
      <w:r>
        <w:rPr>
          <w:rFonts w:ascii="Arial" w:cs="Arial" w:eastAsia="Arial" w:hAnsi="Arial"/>
          <w:sz w:val="17"/>
          <w:szCs w:val="17"/>
          <w:color w:val="000000"/>
        </w:rPr>
        <w:t>. The effectiveness of this Amendment shall occur upon the satisfaction of the conditions listed below. Further, no Lender</w:t>
      </w:r>
      <w:r>
        <w:rPr>
          <w:rFonts w:ascii="Arial" w:cs="Arial" w:eastAsia="Arial" w:hAnsi="Arial"/>
          <w:sz w:val="17"/>
          <w:szCs w:val="17"/>
          <w:color w:val="010000"/>
        </w:rPr>
        <w:t xml:space="preserve"> </w:t>
      </w:r>
      <w:r>
        <w:rPr>
          <w:rFonts w:ascii="Arial" w:cs="Arial" w:eastAsia="Arial" w:hAnsi="Arial"/>
          <w:sz w:val="17"/>
          <w:szCs w:val="17"/>
          <w:color w:val="000000"/>
        </w:rPr>
        <w:t>shall be obligated to make any advance or Loan, or to take, fulfill, or perform any other action hereunder, until the following conditions have been satisfied or provided for in a manner described below or reasonably satisfactory to, or waived in writing by, Agent and each Lender:</w:t>
      </w:r>
    </w:p>
    <w:p>
      <w:pPr>
        <w:spacing w:after="0" w:line="165" w:lineRule="exact"/>
        <w:rPr>
          <w:sz w:val="20"/>
          <w:szCs w:val="20"/>
          <w:color w:val="auto"/>
        </w:rPr>
      </w:pPr>
    </w:p>
    <w:p>
      <w:pPr>
        <w:ind w:left="1620" w:hanging="964"/>
        <w:spacing w:after="0"/>
        <w:tabs>
          <w:tab w:leader="none" w:pos="1620" w:val="left"/>
        </w:tabs>
        <w:numPr>
          <w:ilvl w:val="0"/>
          <w:numId w:val="215"/>
        </w:numPr>
        <w:rPr>
          <w:rFonts w:ascii="Arial" w:cs="Arial" w:eastAsia="Arial" w:hAnsi="Arial"/>
          <w:sz w:val="16"/>
          <w:szCs w:val="16"/>
          <w:color w:val="010000"/>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Amendment, or counterparts hereof shall have been duly executed by Agent, the Lenders, each Loan Party, and</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delivered to Agent.</w:t>
      </w:r>
    </w:p>
    <w:p>
      <w:pPr>
        <w:spacing w:after="0" w:line="210" w:lineRule="exact"/>
        <w:rPr>
          <w:rFonts w:ascii="Arial" w:cs="Arial" w:eastAsia="Arial" w:hAnsi="Arial"/>
          <w:sz w:val="16"/>
          <w:szCs w:val="16"/>
          <w:color w:val="010000"/>
        </w:rPr>
      </w:pPr>
    </w:p>
    <w:p>
      <w:pPr>
        <w:ind w:firstLine="656"/>
        <w:spacing w:after="0" w:line="277" w:lineRule="auto"/>
        <w:tabs>
          <w:tab w:leader="none" w:pos="1738" w:val="left"/>
        </w:tabs>
        <w:numPr>
          <w:ilvl w:val="0"/>
          <w:numId w:val="215"/>
        </w:numPr>
        <w:rPr>
          <w:rFonts w:ascii="Arial" w:cs="Arial" w:eastAsia="Arial" w:hAnsi="Arial"/>
          <w:sz w:val="18"/>
          <w:szCs w:val="18"/>
          <w:color w:val="010000"/>
        </w:rPr>
      </w:pPr>
      <w:r>
        <w:rPr>
          <w:rFonts w:ascii="Arial" w:cs="Arial" w:eastAsia="Arial" w:hAnsi="Arial"/>
          <w:sz w:val="18"/>
          <w:szCs w:val="18"/>
          <w:u w:val="single" w:color="auto"/>
          <w:color w:val="auto"/>
        </w:rPr>
        <w:t>Notes</w:t>
      </w:r>
      <w:r>
        <w:rPr>
          <w:rFonts w:ascii="Arial" w:cs="Arial" w:eastAsia="Arial" w:hAnsi="Arial"/>
          <w:sz w:val="18"/>
          <w:szCs w:val="18"/>
          <w:color w:val="auto"/>
        </w:rPr>
        <w:t>. Amended and restated notes or new notes, as applicable, for each Lender requesting a note to evidence their Revolver Commitment shall have been duly executed by each Borrower and delivered to Agent.</w:t>
      </w:r>
    </w:p>
    <w:p>
      <w:pPr>
        <w:spacing w:after="0" w:line="170" w:lineRule="exact"/>
        <w:rPr>
          <w:rFonts w:ascii="Arial" w:cs="Arial" w:eastAsia="Arial" w:hAnsi="Arial"/>
          <w:sz w:val="18"/>
          <w:szCs w:val="18"/>
          <w:color w:val="010000"/>
        </w:rPr>
      </w:pPr>
    </w:p>
    <w:p>
      <w:pPr>
        <w:ind w:firstLine="656"/>
        <w:spacing w:after="0" w:line="277" w:lineRule="auto"/>
        <w:tabs>
          <w:tab w:leader="none" w:pos="1617" w:val="left"/>
        </w:tabs>
        <w:numPr>
          <w:ilvl w:val="0"/>
          <w:numId w:val="215"/>
        </w:numPr>
        <w:rPr>
          <w:rFonts w:ascii="Arial" w:cs="Arial" w:eastAsia="Arial" w:hAnsi="Arial"/>
          <w:sz w:val="18"/>
          <w:szCs w:val="18"/>
          <w:color w:val="010000"/>
        </w:rPr>
      </w:pPr>
      <w:r>
        <w:rPr>
          <w:rFonts w:ascii="Arial" w:cs="Arial" w:eastAsia="Arial" w:hAnsi="Arial"/>
          <w:sz w:val="18"/>
          <w:szCs w:val="18"/>
          <w:u w:val="single" w:color="auto"/>
          <w:color w:val="auto"/>
        </w:rPr>
        <w:t>Amended and Restated Fee Letter</w:t>
      </w:r>
      <w:r>
        <w:rPr>
          <w:rFonts w:ascii="Arial" w:cs="Arial" w:eastAsia="Arial" w:hAnsi="Arial"/>
          <w:sz w:val="18"/>
          <w:szCs w:val="18"/>
          <w:color w:val="auto"/>
        </w:rPr>
        <w:t>. The amended and restated Fee Letter shall have been duly executed by Agent and AerSale, as Administrative Borrower, and delivered to Agent.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[AerSale]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9" w:name="page290"/>
    <w:bookmarkEnd w:id="289"/>
    <w:p>
      <w:pPr>
        <w:jc w:val="both"/>
        <w:ind w:firstLine="656"/>
        <w:spacing w:after="0" w:line="270" w:lineRule="auto"/>
        <w:tabs>
          <w:tab w:leader="none" w:pos="1681" w:val="left"/>
        </w:tabs>
        <w:numPr>
          <w:ilvl w:val="0"/>
          <w:numId w:val="216"/>
        </w:numPr>
        <w:rPr>
          <w:rFonts w:ascii="Arial" w:cs="Arial" w:eastAsia="Arial" w:hAnsi="Arial"/>
          <w:sz w:val="17"/>
          <w:szCs w:val="17"/>
          <w:color w:val="010000"/>
        </w:rPr>
      </w:pPr>
      <w:r>
        <w:rPr>
          <w:rFonts w:ascii="Arial" w:cs="Arial" w:eastAsia="Arial" w:hAnsi="Arial"/>
          <w:sz w:val="17"/>
          <w:szCs w:val="17"/>
          <w:u w:val="single" w:color="auto"/>
          <w:color w:val="auto"/>
        </w:rPr>
        <w:t>Amendments to Security Documents, etc</w:t>
      </w:r>
      <w:r>
        <w:rPr>
          <w:rFonts w:ascii="Arial" w:cs="Arial" w:eastAsia="Arial" w:hAnsi="Arial"/>
          <w:sz w:val="17"/>
          <w:szCs w:val="17"/>
          <w:color w:val="auto"/>
        </w:rPr>
        <w:t>. (i) An amendment to the Guaranty and Security Agreement (the “</w:t>
      </w:r>
      <w:r>
        <w:rPr>
          <w:rFonts w:ascii="Arial" w:cs="Arial" w:eastAsia="Arial" w:hAnsi="Arial"/>
          <w:sz w:val="17"/>
          <w:szCs w:val="17"/>
          <w:u w:val="single" w:color="auto"/>
          <w:color w:val="auto"/>
        </w:rPr>
        <w:t>Security Agreement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Amendment</w:t>
      </w:r>
      <w:r>
        <w:rPr>
          <w:rFonts w:ascii="Arial" w:cs="Arial" w:eastAsia="Arial" w:hAnsi="Arial"/>
          <w:sz w:val="17"/>
          <w:szCs w:val="17"/>
          <w:color w:val="auto"/>
        </w:rPr>
        <w:t>”), and an amendment to each Aircraft Mortgage and each Engine Mortgage, shall have been duly executed by Agent and each Loan Party (together with the Security Agreement Amendment, the “</w:t>
      </w:r>
      <w:r>
        <w:rPr>
          <w:rFonts w:ascii="Arial" w:cs="Arial" w:eastAsia="Arial" w:hAnsi="Arial"/>
          <w:sz w:val="17"/>
          <w:szCs w:val="17"/>
          <w:u w:val="single" w:color="auto"/>
          <w:color w:val="auto"/>
        </w:rPr>
        <w:t>Security Document Amendments</w:t>
      </w:r>
      <w:r>
        <w:rPr>
          <w:rFonts w:ascii="Arial" w:cs="Arial" w:eastAsia="Arial" w:hAnsi="Arial"/>
          <w:sz w:val="17"/>
          <w:szCs w:val="17"/>
          <w:color w:val="auto"/>
        </w:rPr>
        <w:t>”) and Borrower’s applicable counsel shall have confirmed to the Agent that it holds a duly executed counterpart of each Security Document Amendment and is authorized to file such of the Security Document Amendments as pertain to FAA Registry Aircraft and FAA Registry Engines (the “</w:t>
      </w:r>
      <w:r>
        <w:rPr>
          <w:rFonts w:ascii="Arial" w:cs="Arial" w:eastAsia="Arial" w:hAnsi="Arial"/>
          <w:sz w:val="17"/>
          <w:szCs w:val="17"/>
          <w:u w:val="single" w:color="auto"/>
          <w:color w:val="auto"/>
        </w:rPr>
        <w:t>FAA Registry Documents</w:t>
      </w:r>
      <w:r>
        <w:rPr>
          <w:rFonts w:ascii="Arial" w:cs="Arial" w:eastAsia="Arial" w:hAnsi="Arial"/>
          <w:sz w:val="17"/>
          <w:szCs w:val="17"/>
          <w:color w:val="auto"/>
        </w:rPr>
        <w:t>”) with the Federal Aviation Administration registry upon notification that this Amendment is effective, and that it holds all necessary authorizations and appointments to register international interests with respect to all of the Whole Aircraft Collateral and Whole Engine Collateral described in the Guaranty and Security Agreement; and (ii) a deed of confirmation with respect to the existing Irish law security documents to which the Existing Loan Parties organized under the laws of Ireland are parties shall have been duly executed by Agent and each Existing Loan Parties organized under the laws of Ireland.</w:t>
      </w:r>
    </w:p>
    <w:p>
      <w:pPr>
        <w:spacing w:after="0" w:line="180" w:lineRule="exact"/>
        <w:rPr>
          <w:rFonts w:ascii="Arial" w:cs="Arial" w:eastAsia="Arial" w:hAnsi="Arial"/>
          <w:sz w:val="17"/>
          <w:szCs w:val="17"/>
          <w:color w:val="010000"/>
        </w:rPr>
      </w:pPr>
    </w:p>
    <w:p>
      <w:pPr>
        <w:jc w:val="both"/>
        <w:ind w:firstLine="656"/>
        <w:spacing w:after="0" w:line="263" w:lineRule="auto"/>
        <w:tabs>
          <w:tab w:leader="none" w:pos="1485" w:val="left"/>
        </w:tabs>
        <w:numPr>
          <w:ilvl w:val="0"/>
          <w:numId w:val="216"/>
        </w:numPr>
        <w:rPr>
          <w:rFonts w:ascii="Arial" w:cs="Arial" w:eastAsia="Arial" w:hAnsi="Arial"/>
          <w:sz w:val="18"/>
          <w:szCs w:val="18"/>
          <w:color w:val="010000"/>
        </w:rPr>
      </w:pPr>
      <w:r>
        <w:rPr>
          <w:rFonts w:ascii="Arial" w:cs="Arial" w:eastAsia="Arial" w:hAnsi="Arial"/>
          <w:sz w:val="18"/>
          <w:szCs w:val="18"/>
          <w:u w:val="single" w:color="auto"/>
          <w:color w:val="auto"/>
        </w:rPr>
        <w:t>Joinders</w:t>
      </w:r>
      <w:r>
        <w:rPr>
          <w:rFonts w:ascii="Arial" w:cs="Arial" w:eastAsia="Arial" w:hAnsi="Arial"/>
          <w:sz w:val="18"/>
          <w:szCs w:val="18"/>
          <w:color w:val="auto"/>
        </w:rPr>
        <w:t>. A joinder to (i) the Guaranty and Security Agreement shall have been duly executed by Agent and each New Guarantor and New Borrower and delivered to Agent and (ii) the Intercompany Subordination Agreement shall have been duly executed by Agent and each New Guarantor and New Borrower and delivered to Agent.</w:t>
      </w:r>
    </w:p>
    <w:p>
      <w:pPr>
        <w:spacing w:after="0" w:line="183" w:lineRule="exact"/>
        <w:rPr>
          <w:rFonts w:ascii="Arial" w:cs="Arial" w:eastAsia="Arial" w:hAnsi="Arial"/>
          <w:sz w:val="18"/>
          <w:szCs w:val="18"/>
          <w:color w:val="010000"/>
        </w:rPr>
      </w:pPr>
    </w:p>
    <w:p>
      <w:pPr>
        <w:jc w:val="both"/>
        <w:ind w:firstLine="656"/>
        <w:spacing w:after="0" w:line="291" w:lineRule="auto"/>
        <w:tabs>
          <w:tab w:leader="none" w:pos="1502" w:val="left"/>
        </w:tabs>
        <w:numPr>
          <w:ilvl w:val="0"/>
          <w:numId w:val="216"/>
        </w:numPr>
        <w:rPr>
          <w:rFonts w:ascii="Arial" w:cs="Arial" w:eastAsia="Arial" w:hAnsi="Arial"/>
          <w:sz w:val="16"/>
          <w:szCs w:val="16"/>
          <w:color w:val="010000"/>
        </w:rPr>
      </w:pPr>
      <w:r>
        <w:rPr>
          <w:rFonts w:ascii="Arial" w:cs="Arial" w:eastAsia="Arial" w:hAnsi="Arial"/>
          <w:sz w:val="16"/>
          <w:szCs w:val="16"/>
          <w:u w:val="single" w:color="auto"/>
          <w:color w:val="auto"/>
        </w:rPr>
        <w:t>AerSale Ireland 1 Limited Security Documentation</w:t>
      </w:r>
      <w:r>
        <w:rPr>
          <w:rFonts w:ascii="Arial" w:cs="Arial" w:eastAsia="Arial" w:hAnsi="Arial"/>
          <w:sz w:val="16"/>
          <w:szCs w:val="16"/>
          <w:color w:val="auto"/>
        </w:rPr>
        <w:t>. Agent shall have received, each duly executed by AerSale Ireland 1 Limited and such other persons contemplated to be party thereto, (i) such joinders and amendments to the Irish law Loan Documents as are required by the Agent, including a Mortgage with respect to the entire issued share capital of AerSale Ireland 1 Limited granted by AerSale Aviation Limited in favor of the Agent, in each case, governed by the laws of Ireland, together with any deliverables, notices and acknowledgements required thereunder, and the original share certificate with respect to the equity of AerSale Ireland 1 Limited together with a duly executed transfer power, and (ii) an FAA Engine Mortgage and Collateral Assignment of Lease with respect to the Whole Engines bearing serial numbers 704427 and P727404, and AerSale Ireland 1 Limited shall have completed filings, registrations and other actions necessary to satisfy the Perfection Requirements with respect to each such Whole Engine.</w:t>
      </w:r>
    </w:p>
    <w:p>
      <w:pPr>
        <w:spacing w:after="0" w:line="166" w:lineRule="exact"/>
        <w:rPr>
          <w:rFonts w:ascii="Arial" w:cs="Arial" w:eastAsia="Arial" w:hAnsi="Arial"/>
          <w:sz w:val="16"/>
          <w:szCs w:val="16"/>
          <w:color w:val="010000"/>
        </w:rPr>
      </w:pPr>
    </w:p>
    <w:p>
      <w:pPr>
        <w:ind w:left="1460" w:hanging="804"/>
        <w:spacing w:after="0"/>
        <w:tabs>
          <w:tab w:leader="none" w:pos="1460" w:val="left"/>
        </w:tabs>
        <w:numPr>
          <w:ilvl w:val="0"/>
          <w:numId w:val="216"/>
        </w:numPr>
        <w:rPr>
          <w:rFonts w:ascii="Arial" w:cs="Arial" w:eastAsia="Arial" w:hAnsi="Arial"/>
          <w:sz w:val="16"/>
          <w:szCs w:val="16"/>
          <w:color w:val="010000"/>
        </w:rPr>
      </w:pPr>
      <w:r>
        <w:rPr>
          <w:rFonts w:ascii="Arial" w:cs="Arial" w:eastAsia="Arial" w:hAnsi="Arial"/>
          <w:sz w:val="16"/>
          <w:szCs w:val="16"/>
          <w:u w:val="single" w:color="auto"/>
          <w:color w:val="auto"/>
        </w:rPr>
        <w:t>Pledged Interests Addendum</w:t>
      </w:r>
      <w:r>
        <w:rPr>
          <w:rFonts w:ascii="Arial" w:cs="Arial" w:eastAsia="Arial" w:hAnsi="Arial"/>
          <w:sz w:val="16"/>
          <w:szCs w:val="16"/>
          <w:color w:val="auto"/>
        </w:rPr>
        <w:t>. A pledged interests addendum duly executed by Agent and AerSale Aviation shall have been delivered to</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Agent.</w:t>
      </w:r>
    </w:p>
    <w:p>
      <w:pPr>
        <w:spacing w:after="0" w:line="210" w:lineRule="exact"/>
        <w:rPr>
          <w:rFonts w:ascii="Arial" w:cs="Arial" w:eastAsia="Arial" w:hAnsi="Arial"/>
          <w:sz w:val="16"/>
          <w:szCs w:val="16"/>
          <w:color w:val="010000"/>
        </w:rPr>
      </w:pPr>
    </w:p>
    <w:p>
      <w:pPr>
        <w:ind w:left="1520" w:hanging="864"/>
        <w:spacing w:after="0"/>
        <w:tabs>
          <w:tab w:leader="none" w:pos="1520" w:val="left"/>
        </w:tabs>
        <w:numPr>
          <w:ilvl w:val="0"/>
          <w:numId w:val="216"/>
        </w:numPr>
        <w:rPr>
          <w:rFonts w:ascii="Arial" w:cs="Arial" w:eastAsia="Arial" w:hAnsi="Arial"/>
          <w:sz w:val="16"/>
          <w:szCs w:val="16"/>
          <w:color w:val="010000"/>
        </w:rPr>
      </w:pPr>
      <w:r>
        <w:rPr>
          <w:rFonts w:ascii="Arial" w:cs="Arial" w:eastAsia="Arial" w:hAnsi="Arial"/>
          <w:sz w:val="16"/>
          <w:szCs w:val="16"/>
          <w:u w:val="single" w:color="auto"/>
          <w:color w:val="auto"/>
        </w:rPr>
        <w:t>Perfection Certificate</w:t>
      </w:r>
      <w:r>
        <w:rPr>
          <w:rFonts w:ascii="Arial" w:cs="Arial" w:eastAsia="Arial" w:hAnsi="Arial"/>
          <w:sz w:val="16"/>
          <w:szCs w:val="16"/>
          <w:color w:val="auto"/>
        </w:rPr>
        <w:t>. A Perfection Certificate duly executed by the New Guarantors and New Borrower shall have been delivered to</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Agent.</w:t>
      </w:r>
    </w:p>
    <w:p>
      <w:pPr>
        <w:spacing w:after="0" w:line="210" w:lineRule="exact"/>
        <w:rPr>
          <w:rFonts w:ascii="Arial" w:cs="Arial" w:eastAsia="Arial" w:hAnsi="Arial"/>
          <w:sz w:val="16"/>
          <w:szCs w:val="16"/>
          <w:color w:val="010000"/>
        </w:rPr>
      </w:pPr>
    </w:p>
    <w:p>
      <w:pPr>
        <w:jc w:val="both"/>
        <w:ind w:firstLine="656"/>
        <w:spacing w:after="0" w:line="296" w:lineRule="auto"/>
        <w:tabs>
          <w:tab w:leader="none" w:pos="1395" w:val="left"/>
        </w:tabs>
        <w:numPr>
          <w:ilvl w:val="0"/>
          <w:numId w:val="216"/>
        </w:numPr>
        <w:rPr>
          <w:rFonts w:ascii="Arial" w:cs="Arial" w:eastAsia="Arial" w:hAnsi="Arial"/>
          <w:sz w:val="16"/>
          <w:szCs w:val="16"/>
          <w:color w:val="010000"/>
        </w:rPr>
      </w:pPr>
      <w:r>
        <w:rPr>
          <w:rFonts w:ascii="Arial" w:cs="Arial" w:eastAsia="Arial" w:hAnsi="Arial"/>
          <w:sz w:val="16"/>
          <w:szCs w:val="16"/>
          <w:u w:val="single" w:color="auto"/>
          <w:color w:val="auto"/>
        </w:rPr>
        <w:t>Filings, Registrations and Recordings, etc</w:t>
      </w:r>
      <w:r>
        <w:rPr>
          <w:rFonts w:ascii="Arial" w:cs="Arial" w:eastAsia="Arial" w:hAnsi="Arial"/>
          <w:sz w:val="16"/>
          <w:szCs w:val="16"/>
          <w:color w:val="auto"/>
        </w:rPr>
        <w:t>. Each Uniform Commercial Code financing statement required by this Amendment requested by the Agent to be filed, registered or recorded in order to create, in favor of Agent, a perfected security interest in or lien upon the Collateral of each New Guarantor and New Borrower shall have been delivered to Agent in proper form for filing, registration or recordation in each jurisdiction in which the filing, registration or recordation thereof is so required or requested by Agent. Agent shall have received public records searches as to each New Guarantor and New Borrower reflecting that no Liens other than Permitted Liens exist with respect to such New Guarantor and New Borrower.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[AerSale]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0" w:name="page291"/>
    <w:bookmarkEnd w:id="290"/>
    <w:p>
      <w:pPr>
        <w:jc w:val="both"/>
        <w:ind w:firstLine="656"/>
        <w:spacing w:after="0" w:line="274" w:lineRule="auto"/>
        <w:tabs>
          <w:tab w:leader="none" w:pos="1688" w:val="left"/>
        </w:tabs>
        <w:numPr>
          <w:ilvl w:val="1"/>
          <w:numId w:val="217"/>
        </w:numPr>
        <w:rPr>
          <w:rFonts w:ascii="Arial" w:cs="Arial" w:eastAsia="Arial" w:hAnsi="Arial"/>
          <w:sz w:val="17"/>
          <w:szCs w:val="17"/>
          <w:color w:val="010000"/>
        </w:rPr>
      </w:pPr>
      <w:r>
        <w:rPr>
          <w:rFonts w:ascii="Arial" w:cs="Arial" w:eastAsia="Arial" w:hAnsi="Arial"/>
          <w:sz w:val="17"/>
          <w:szCs w:val="17"/>
          <w:u w:val="single" w:color="auto"/>
          <w:color w:val="auto"/>
        </w:rPr>
        <w:t>Secretary’s Certificates</w:t>
      </w:r>
      <w:r>
        <w:rPr>
          <w:rFonts w:ascii="Arial" w:cs="Arial" w:eastAsia="Arial" w:hAnsi="Arial"/>
          <w:sz w:val="17"/>
          <w:szCs w:val="17"/>
          <w:color w:val="auto"/>
        </w:rPr>
        <w:t>. Agent shall have received, and copies thereof shall have been provided to any Lender requesting such documentation, (i) a certificate from the Secretary of each Loan Party (or, with respect to any Irish Borrower, a Director of such Irish Borrower)</w:t>
      </w:r>
    </w:p>
    <w:p>
      <w:pPr>
        <w:jc w:val="both"/>
        <w:ind w:firstLine="8"/>
        <w:spacing w:after="0" w:line="268" w:lineRule="auto"/>
        <w:tabs>
          <w:tab w:leader="none" w:pos="272"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attesting to the resolutions of such Loan Party’s board of directors authorizing its execution, delivery, and performance of this Amendment and any other Loan Document executed in connection with this Amendment to which it is a party, (2) authorizing specific officers of such Loan Party to execute the same, (3) attesting to the incumbency and signatures of such specific officers of such Loan Party and (4) as applicable, attesting to the power of attorney of such Loan Party in respect of its execution, delivery and performance of the Loan Documents to which it is a party; and (ii) copies of each Loan Party’s Governing Documents, as amended, modified, or supplemented to the date hereof, which Governing Documents shall be (1) certified by a Secretary of such Loan Party (or, with respect to any Irish Borrower, the Director of such Irish Borrower), and (2) with respect to Governing Documents that are charter documents, certified as of a recent date (not more than 30 days prior to the date hereof) by the appropriate governmental official;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documents shall not be required to be delivered with respect each Loan Party if such Loan Party certifies that the applicable documents previously delivered to the Agent in connection with the Credit Agreement remain in full force and effect and have not been amended, modified, revoked or rescinded since the date they were delivered.</w:t>
      </w:r>
    </w:p>
    <w:p>
      <w:pPr>
        <w:spacing w:after="0" w:line="178" w:lineRule="exact"/>
        <w:rPr>
          <w:rFonts w:ascii="Arial" w:cs="Arial" w:eastAsia="Arial" w:hAnsi="Arial"/>
          <w:sz w:val="17"/>
          <w:szCs w:val="17"/>
          <w:color w:val="auto"/>
        </w:rPr>
      </w:pPr>
    </w:p>
    <w:p>
      <w:pPr>
        <w:jc w:val="both"/>
        <w:ind w:firstLine="656"/>
        <w:spacing w:after="0" w:line="293" w:lineRule="auto"/>
        <w:tabs>
          <w:tab w:leader="none" w:pos="1775" w:val="left"/>
        </w:tabs>
        <w:numPr>
          <w:ilvl w:val="1"/>
          <w:numId w:val="218"/>
        </w:numPr>
        <w:rPr>
          <w:rFonts w:ascii="Arial" w:cs="Arial" w:eastAsia="Arial" w:hAnsi="Arial"/>
          <w:sz w:val="16"/>
          <w:szCs w:val="16"/>
          <w:color w:val="010000"/>
        </w:rPr>
      </w:pPr>
      <w:r>
        <w:rPr>
          <w:rFonts w:ascii="Arial" w:cs="Arial" w:eastAsia="Arial" w:hAnsi="Arial"/>
          <w:sz w:val="16"/>
          <w:szCs w:val="16"/>
          <w:u w:val="single" w:color="auto"/>
          <w:color w:val="auto"/>
        </w:rPr>
        <w:t>Certificates of Status</w:t>
      </w:r>
      <w:r>
        <w:rPr>
          <w:rFonts w:ascii="Arial" w:cs="Arial" w:eastAsia="Arial" w:hAnsi="Arial"/>
          <w:sz w:val="16"/>
          <w:szCs w:val="16"/>
          <w:color w:val="auto"/>
        </w:rPr>
        <w:t>. Agent shall have received, and copies thereof shall have been provided to any Lender requesting such documentation, (i) a certificate of status with respect to each Loan Party, dated within 10 days of the date hereof, such certificate to be issued by the appropriate officer of the jurisdiction of organization of such Loan Party, which certificate shall indicate that such Loan Party is in good standing in such jurisdiction; and (ii) certificates of status with respect to each Loan Party, each dated within 30 days of the date hereof, such certificates to be issued by the appropriate officer of the jurisdictions (other than the jurisdiction of organization of such Loan Party) in which its failure to be duly qualified or licensed would constitute a Material Adverse Effect, which certificates shall indicate that such Loan Party is in good standing in such jurisdictions.</w:t>
      </w:r>
    </w:p>
    <w:p>
      <w:pPr>
        <w:spacing w:after="0" w:line="164" w:lineRule="exact"/>
        <w:rPr>
          <w:rFonts w:ascii="Arial" w:cs="Arial" w:eastAsia="Arial" w:hAnsi="Arial"/>
          <w:sz w:val="16"/>
          <w:szCs w:val="16"/>
          <w:color w:val="010000"/>
        </w:rPr>
      </w:pPr>
    </w:p>
    <w:p>
      <w:pPr>
        <w:jc w:val="both"/>
        <w:ind w:firstLine="656"/>
        <w:spacing w:after="0" w:line="286" w:lineRule="auto"/>
        <w:tabs>
          <w:tab w:leader="none" w:pos="1498" w:val="left"/>
        </w:tabs>
        <w:numPr>
          <w:ilvl w:val="1"/>
          <w:numId w:val="218"/>
        </w:numPr>
        <w:rPr>
          <w:rFonts w:ascii="Arial" w:cs="Arial" w:eastAsia="Arial" w:hAnsi="Arial"/>
          <w:sz w:val="17"/>
          <w:szCs w:val="17"/>
          <w:color w:val="010000"/>
        </w:rPr>
      </w:pPr>
      <w:r>
        <w:rPr>
          <w:rFonts w:ascii="Arial" w:cs="Arial" w:eastAsia="Arial" w:hAnsi="Arial"/>
          <w:sz w:val="17"/>
          <w:szCs w:val="17"/>
          <w:u w:val="single" w:color="auto"/>
          <w:color w:val="auto"/>
        </w:rPr>
        <w:t>Legal Opinion</w:t>
      </w:r>
      <w:r>
        <w:rPr>
          <w:rFonts w:ascii="Arial" w:cs="Arial" w:eastAsia="Arial" w:hAnsi="Arial"/>
          <w:sz w:val="17"/>
          <w:szCs w:val="17"/>
          <w:color w:val="auto"/>
        </w:rPr>
        <w:t>. Agent shall have received opinions of the Loan Parties’ counsel (including, without limitation, opinions of Latham &amp; Watkins LLP, as special counsel to certain of the Loan Parties, Greenberg Traurig, LLP, as local Florida counsel to certain of the Loan Parties, and McCann FitzGerald, as counsel to the Irish Borrowers) each addressed to and, in form and substance satisfactory to, Agent and each Lender.</w:t>
      </w:r>
    </w:p>
    <w:p>
      <w:pPr>
        <w:spacing w:after="0" w:line="165" w:lineRule="exact"/>
        <w:rPr>
          <w:rFonts w:ascii="Arial" w:cs="Arial" w:eastAsia="Arial" w:hAnsi="Arial"/>
          <w:sz w:val="17"/>
          <w:szCs w:val="17"/>
          <w:color w:val="010000"/>
        </w:rPr>
      </w:pPr>
    </w:p>
    <w:p>
      <w:pPr>
        <w:jc w:val="both"/>
        <w:ind w:firstLine="656"/>
        <w:spacing w:after="0" w:line="263" w:lineRule="auto"/>
        <w:tabs>
          <w:tab w:leader="none" w:pos="1467" w:val="left"/>
        </w:tabs>
        <w:numPr>
          <w:ilvl w:val="1"/>
          <w:numId w:val="218"/>
        </w:numPr>
        <w:rPr>
          <w:rFonts w:ascii="Arial" w:cs="Arial" w:eastAsia="Arial" w:hAnsi="Arial"/>
          <w:sz w:val="18"/>
          <w:szCs w:val="18"/>
          <w:color w:val="010000"/>
        </w:rPr>
      </w:pPr>
      <w:r>
        <w:rPr>
          <w:rFonts w:ascii="Arial" w:cs="Arial" w:eastAsia="Arial" w:hAnsi="Arial"/>
          <w:sz w:val="18"/>
          <w:szCs w:val="18"/>
          <w:u w:val="single" w:color="auto"/>
          <w:color w:val="auto"/>
        </w:rPr>
        <w:t>KYC</w:t>
      </w:r>
      <w:r>
        <w:rPr>
          <w:rFonts w:ascii="Arial" w:cs="Arial" w:eastAsia="Arial" w:hAnsi="Arial"/>
          <w:sz w:val="18"/>
          <w:szCs w:val="18"/>
          <w:color w:val="auto"/>
        </w:rPr>
        <w:t>. Agent and the Lenders shall have received, in form and substance acceptable to Agent and each Lender, such documentation and other information requested in connection with applicable “know your customer” due diligence, the results of which shall all be satisfactory to Agent and each Lender.</w:t>
      </w:r>
    </w:p>
    <w:p>
      <w:pPr>
        <w:spacing w:after="0" w:line="183" w:lineRule="exact"/>
        <w:rPr>
          <w:rFonts w:ascii="Arial" w:cs="Arial" w:eastAsia="Arial" w:hAnsi="Arial"/>
          <w:sz w:val="18"/>
          <w:szCs w:val="18"/>
          <w:color w:val="010000"/>
        </w:rPr>
      </w:pPr>
    </w:p>
    <w:p>
      <w:pPr>
        <w:jc w:val="both"/>
        <w:ind w:firstLine="656"/>
        <w:spacing w:after="0" w:line="263" w:lineRule="auto"/>
        <w:tabs>
          <w:tab w:leader="none" w:pos="1505" w:val="left"/>
        </w:tabs>
        <w:numPr>
          <w:ilvl w:val="1"/>
          <w:numId w:val="218"/>
        </w:numPr>
        <w:rPr>
          <w:rFonts w:ascii="Arial" w:cs="Arial" w:eastAsia="Arial" w:hAnsi="Arial"/>
          <w:sz w:val="18"/>
          <w:szCs w:val="18"/>
          <w:color w:val="010000"/>
        </w:rPr>
      </w:pPr>
      <w:r>
        <w:rPr>
          <w:rFonts w:ascii="Arial" w:cs="Arial" w:eastAsia="Arial" w:hAnsi="Arial"/>
          <w:sz w:val="18"/>
          <w:szCs w:val="18"/>
          <w:u w:val="single" w:color="auto"/>
          <w:color w:val="auto"/>
        </w:rPr>
        <w:t>Approvals</w:t>
      </w:r>
      <w:r>
        <w:rPr>
          <w:rFonts w:ascii="Arial" w:cs="Arial" w:eastAsia="Arial" w:hAnsi="Arial"/>
          <w:sz w:val="18"/>
          <w:szCs w:val="18"/>
          <w:color w:val="auto"/>
        </w:rPr>
        <w:t>. Parent and each of its Subsidiaries shall have received all licenses, approvals or evidence of other actions required by any Governmental Authority in connection with the execution and delivery by Parent or its Subsidiaries of this Amendment and the other Loan Documents executed in connection herewith or with the consummation of the transactions contemplated thereby.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[AerSale]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1" w:name="page292"/>
    <w:bookmarkEnd w:id="291"/>
    <w:p>
      <w:pPr>
        <w:ind w:firstLine="656"/>
        <w:spacing w:after="0" w:line="277" w:lineRule="auto"/>
        <w:tabs>
          <w:tab w:leader="none" w:pos="1573" w:val="left"/>
        </w:tabs>
        <w:numPr>
          <w:ilvl w:val="0"/>
          <w:numId w:val="219"/>
        </w:numPr>
        <w:rPr>
          <w:rFonts w:ascii="Arial" w:cs="Arial" w:eastAsia="Arial" w:hAnsi="Arial"/>
          <w:sz w:val="18"/>
          <w:szCs w:val="18"/>
          <w:color w:val="010000"/>
        </w:rPr>
      </w:pPr>
      <w:r>
        <w:rPr>
          <w:rFonts w:ascii="Arial" w:cs="Arial" w:eastAsia="Arial" w:hAnsi="Arial"/>
          <w:sz w:val="18"/>
          <w:szCs w:val="18"/>
          <w:u w:val="single" w:color="auto"/>
          <w:color w:val="auto"/>
        </w:rPr>
        <w:t>Payment of Fees and Expense</w:t>
      </w:r>
      <w:r>
        <w:rPr>
          <w:rFonts w:ascii="Arial" w:cs="Arial" w:eastAsia="Arial" w:hAnsi="Arial"/>
          <w:sz w:val="18"/>
          <w:szCs w:val="18"/>
          <w:color w:val="auto"/>
        </w:rPr>
        <w:t>. Borrowers shall have (i) paid all fees required to be paid to Agent and/or the Lenders under the Fee Letter and (ii) reimbursed Agent for all reasonable fees, costs and expenses of closing presented as of the date hereof.</w:t>
      </w:r>
    </w:p>
    <w:p>
      <w:pPr>
        <w:spacing w:after="0" w:line="170" w:lineRule="exact"/>
        <w:rPr>
          <w:rFonts w:ascii="Arial" w:cs="Arial" w:eastAsia="Arial" w:hAnsi="Arial"/>
          <w:sz w:val="18"/>
          <w:szCs w:val="18"/>
          <w:color w:val="010000"/>
        </w:rPr>
      </w:pPr>
    </w:p>
    <w:p>
      <w:pPr>
        <w:ind w:right="20" w:firstLine="656"/>
        <w:spacing w:after="0" w:line="277" w:lineRule="auto"/>
        <w:tabs>
          <w:tab w:leader="none" w:pos="1435" w:val="left"/>
        </w:tabs>
        <w:numPr>
          <w:ilvl w:val="0"/>
          <w:numId w:val="219"/>
        </w:numPr>
        <w:rPr>
          <w:rFonts w:ascii="Arial" w:cs="Arial" w:eastAsia="Arial" w:hAnsi="Arial"/>
          <w:sz w:val="18"/>
          <w:szCs w:val="18"/>
          <w:color w:val="010000"/>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All of the representations and warranties made by any Loan Party in this Amendment shall be true and correct in all material respects on and as of the date hereof.</w:t>
      </w:r>
    </w:p>
    <w:p>
      <w:pPr>
        <w:spacing w:after="0" w:line="170" w:lineRule="exact"/>
        <w:rPr>
          <w:rFonts w:ascii="Arial" w:cs="Arial" w:eastAsia="Arial" w:hAnsi="Arial"/>
          <w:sz w:val="18"/>
          <w:szCs w:val="18"/>
          <w:color w:val="010000"/>
        </w:rPr>
      </w:pPr>
    </w:p>
    <w:p>
      <w:pPr>
        <w:ind w:firstLine="656"/>
        <w:spacing w:after="0" w:line="277" w:lineRule="auto"/>
        <w:tabs>
          <w:tab w:leader="none" w:pos="1492" w:val="left"/>
        </w:tabs>
        <w:numPr>
          <w:ilvl w:val="0"/>
          <w:numId w:val="219"/>
        </w:numPr>
        <w:rPr>
          <w:rFonts w:ascii="Arial" w:cs="Arial" w:eastAsia="Arial" w:hAnsi="Arial"/>
          <w:sz w:val="18"/>
          <w:szCs w:val="18"/>
          <w:color w:val="010000"/>
        </w:rPr>
      </w:pPr>
      <w:r>
        <w:rPr>
          <w:rFonts w:ascii="Arial" w:cs="Arial" w:eastAsia="Arial" w:hAnsi="Arial"/>
          <w:sz w:val="18"/>
          <w:szCs w:val="18"/>
          <w:u w:val="single" w:color="auto"/>
          <w:color w:val="auto"/>
        </w:rPr>
        <w:t>Other Matters</w:t>
      </w:r>
      <w:r>
        <w:rPr>
          <w:rFonts w:ascii="Arial" w:cs="Arial" w:eastAsia="Arial" w:hAnsi="Arial"/>
          <w:sz w:val="18"/>
          <w:szCs w:val="18"/>
          <w:color w:val="auto"/>
        </w:rPr>
        <w:t>. All other documents and legal matters in connection with the transactions contemplated by this Amendment shall have been delivered, executed, or recorded and shall be in form and substance satisfactory to Agent.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release of the signature pages to this Amendment executed by the Agent and each Lender shall be conclusive evidence that each of the conditions listed above have been satisfied and/or waived in writing by the Agent and each Lender.</w:t>
      </w:r>
    </w:p>
    <w:p>
      <w:pPr>
        <w:spacing w:after="0" w:line="17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010000"/>
        </w:rPr>
        <w:t>Section 8:</w:t>
      </w:r>
      <w:r>
        <w:rPr>
          <w:sz w:val="20"/>
          <w:szCs w:val="20"/>
          <w:color w:val="auto"/>
        </w:rPr>
        <w:tab/>
      </w:r>
      <w:r>
        <w:rPr>
          <w:rFonts w:ascii="Arial" w:cs="Arial" w:eastAsia="Arial" w:hAnsi="Arial"/>
          <w:sz w:val="15"/>
          <w:szCs w:val="15"/>
          <w:u w:val="single" w:color="auto"/>
          <w:color w:val="auto"/>
        </w:rPr>
        <w:t>Covenant</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54" w:lineRule="auto"/>
        <w:tabs>
          <w:tab w:leader="none" w:pos="1451" w:val="left"/>
        </w:tabs>
        <w:numPr>
          <w:ilvl w:val="0"/>
          <w:numId w:val="220"/>
        </w:numPr>
        <w:rPr>
          <w:rFonts w:ascii="Arial" w:cs="Arial" w:eastAsia="Arial" w:hAnsi="Arial"/>
          <w:sz w:val="18"/>
          <w:szCs w:val="18"/>
          <w:color w:val="010000"/>
        </w:rPr>
      </w:pPr>
      <w:r>
        <w:rPr>
          <w:rFonts w:ascii="Arial" w:cs="Arial" w:eastAsia="Arial" w:hAnsi="Arial"/>
          <w:sz w:val="18"/>
          <w:szCs w:val="18"/>
          <w:color w:val="auto"/>
        </w:rPr>
        <w:t>As soon as reasonably practicable after the date hereof, and in no event later than 45 days after the date hereof, the Loan Parties hereby agree to authorize and direct their relevant counsel to file the FAA Registry Documents with the Federal Aviation Administration registry, register on the international registry the international interests contemplated in Section 7(D) above and deliver to Agent, with copies thereof to any Lender requesting such documentation, a memorandum from McAfee &amp; Taft confirming that (i) the FAA Registry Documents have been duly filed with and recorded by the FAA and (ii) international interests with respect to all of the Whole Aircraft Collateral and Whole Engine Collateral have been duly registered on the International Registry, as contemplated under Section 7(D) above, together with the post-closing priority search certificates evidencing such registrations, in form and substance satisfactory to Agent.</w:t>
      </w:r>
    </w:p>
    <w:p>
      <w:pPr>
        <w:spacing w:after="0" w:line="194" w:lineRule="exact"/>
        <w:rPr>
          <w:rFonts w:ascii="Arial" w:cs="Arial" w:eastAsia="Arial" w:hAnsi="Arial"/>
          <w:sz w:val="18"/>
          <w:szCs w:val="18"/>
          <w:color w:val="010000"/>
        </w:rPr>
      </w:pPr>
    </w:p>
    <w:p>
      <w:pPr>
        <w:ind w:right="20" w:firstLine="656"/>
        <w:spacing w:after="0" w:line="277" w:lineRule="auto"/>
        <w:tabs>
          <w:tab w:leader="none" w:pos="1468" w:val="left"/>
        </w:tabs>
        <w:numPr>
          <w:ilvl w:val="0"/>
          <w:numId w:val="220"/>
        </w:numPr>
        <w:rPr>
          <w:rFonts w:ascii="Arial" w:cs="Arial" w:eastAsia="Arial" w:hAnsi="Arial"/>
          <w:sz w:val="18"/>
          <w:szCs w:val="18"/>
          <w:color w:val="010000"/>
        </w:rPr>
      </w:pPr>
      <w:r>
        <w:rPr>
          <w:rFonts w:ascii="Arial" w:cs="Arial" w:eastAsia="Arial" w:hAnsi="Arial"/>
          <w:sz w:val="18"/>
          <w:szCs w:val="18"/>
          <w:color w:val="auto"/>
        </w:rPr>
        <w:t>Within 10 days after the date hereof, the Loan Parties agree to deliver to Agent a good standing certificate for Qwest Air Parts, LLC, a Florida limited liability company, issued by the State of Tennessee.</w:t>
      </w:r>
    </w:p>
    <w:p>
      <w:pPr>
        <w:spacing w:after="0" w:line="170" w:lineRule="exact"/>
        <w:rPr>
          <w:rFonts w:ascii="Arial" w:cs="Arial" w:eastAsia="Arial" w:hAnsi="Arial"/>
          <w:sz w:val="18"/>
          <w:szCs w:val="18"/>
          <w:color w:val="010000"/>
        </w:rPr>
      </w:pPr>
    </w:p>
    <w:p>
      <w:pPr>
        <w:jc w:val="both"/>
        <w:ind w:firstLine="656"/>
        <w:spacing w:after="0" w:line="263" w:lineRule="auto"/>
        <w:tabs>
          <w:tab w:leader="none" w:pos="1536" w:val="left"/>
        </w:tabs>
        <w:numPr>
          <w:ilvl w:val="0"/>
          <w:numId w:val="220"/>
        </w:numPr>
        <w:rPr>
          <w:rFonts w:ascii="Arial" w:cs="Arial" w:eastAsia="Arial" w:hAnsi="Arial"/>
          <w:sz w:val="18"/>
          <w:szCs w:val="18"/>
          <w:color w:val="010000"/>
        </w:rPr>
      </w:pPr>
      <w:r>
        <w:rPr>
          <w:rFonts w:ascii="Arial" w:cs="Arial" w:eastAsia="Arial" w:hAnsi="Arial"/>
          <w:sz w:val="18"/>
          <w:szCs w:val="18"/>
          <w:color w:val="auto"/>
        </w:rPr>
        <w:t>On or before April 20, 2021, Agent shall have received evidence, in form and substance satisfactory to Agent, of the payment of all taxes required to be paid in the State of Florida with respect to this Amendment and the other Loan Documents executed in connection with this Amendment.</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010000"/>
        </w:rPr>
        <w:t xml:space="preserve">Section 9: </w:t>
      </w:r>
      <w:r>
        <w:rPr>
          <w:rFonts w:ascii="Arial" w:cs="Arial" w:eastAsia="Arial" w:hAnsi="Arial"/>
          <w:sz w:val="17"/>
          <w:szCs w:val="17"/>
          <w:u w:val="single" w:color="auto"/>
          <w:color w:val="000000"/>
        </w:rPr>
        <w:t>Guarantor Reaffirmation and Consent</w:t>
      </w:r>
      <w:r>
        <w:rPr>
          <w:rFonts w:ascii="Arial" w:cs="Arial" w:eastAsia="Arial" w:hAnsi="Arial"/>
          <w:sz w:val="17"/>
          <w:szCs w:val="17"/>
          <w:color w:val="000000"/>
        </w:rPr>
        <w:t>. Each Guarantor hereby (a) consents to this Amendment; (b) acknowledges and reaffirms all of its</w:t>
      </w:r>
      <w:r>
        <w:rPr>
          <w:rFonts w:ascii="Arial" w:cs="Arial" w:eastAsia="Arial" w:hAnsi="Arial"/>
          <w:sz w:val="17"/>
          <w:szCs w:val="17"/>
          <w:color w:val="010000"/>
        </w:rPr>
        <w:t xml:space="preserve"> </w:t>
      </w:r>
      <w:r>
        <w:rPr>
          <w:rFonts w:ascii="Arial" w:cs="Arial" w:eastAsia="Arial" w:hAnsi="Arial"/>
          <w:sz w:val="17"/>
          <w:szCs w:val="17"/>
          <w:color w:val="000000"/>
        </w:rPr>
        <w:t>obligations under any Loan Document to which it is a party; (c) agrees that each Loan Document to which it is a party is and shall remain in full force and effect for the benefit of Agent and each Lender, (d) confirms that the Guaranteed Obligations (as defined in the Guaranty and Security Agreement) include the Obligations, as increased, extended, and otherwise modified hereby and (e) ratifies and confirms its consent to any previous amendments of the Credit Agreement and any previous waivers granted with respect to the Credit Agreement. Although each Guarantor has been informed of the matters set forth herein and has acknowledged and agreed to same, such Guarantor understands that neither Agent nor any Lender shall have any obligation to inform such Guarantor of such matters in the future or to seek such Guarantor’s acknowledgement or agreement to future amendments, waivers, or modifications, and nothing herein shall create such a duty.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[AerSale]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2" w:name="page293"/>
    <w:bookmarkEnd w:id="292"/>
    <w:p>
      <w:pPr>
        <w:jc w:val="both"/>
        <w:spacing w:after="0" w:line="263" w:lineRule="auto"/>
        <w:rPr>
          <w:sz w:val="20"/>
          <w:szCs w:val="20"/>
          <w:color w:val="auto"/>
        </w:rPr>
      </w:pPr>
      <w:r>
        <w:rPr>
          <w:rFonts w:ascii="Arial" w:cs="Arial" w:eastAsia="Arial" w:hAnsi="Arial"/>
          <w:sz w:val="18"/>
          <w:szCs w:val="18"/>
          <w:color w:val="010000"/>
        </w:rPr>
        <w:t xml:space="preserve">Section 10: </w:t>
      </w:r>
      <w:r>
        <w:rPr>
          <w:rFonts w:ascii="Arial" w:cs="Arial" w:eastAsia="Arial" w:hAnsi="Arial"/>
          <w:sz w:val="18"/>
          <w:szCs w:val="18"/>
          <w:u w:val="single" w:color="auto"/>
          <w:color w:val="000000"/>
        </w:rPr>
        <w:t>Expenses</w:t>
      </w:r>
      <w:r>
        <w:rPr>
          <w:rFonts w:ascii="Arial" w:cs="Arial" w:eastAsia="Arial" w:hAnsi="Arial"/>
          <w:sz w:val="18"/>
          <w:szCs w:val="18"/>
          <w:color w:val="000000"/>
        </w:rPr>
        <w:t>. The Borrowers agree to reimburse the Agent for its documented out-of-pocket expenses in connection with this Amendment</w:t>
      </w:r>
      <w:r>
        <w:rPr>
          <w:rFonts w:ascii="Arial" w:cs="Arial" w:eastAsia="Arial" w:hAnsi="Arial"/>
          <w:sz w:val="18"/>
          <w:szCs w:val="18"/>
          <w:color w:val="010000"/>
        </w:rPr>
        <w:t xml:space="preserve"> </w:t>
      </w:r>
      <w:r>
        <w:rPr>
          <w:rFonts w:ascii="Arial" w:cs="Arial" w:eastAsia="Arial" w:hAnsi="Arial"/>
          <w:sz w:val="18"/>
          <w:szCs w:val="18"/>
          <w:color w:val="000000"/>
        </w:rPr>
        <w:t xml:space="preserve">and the transactions contemplated hereby, including the documented fees, charges and disbursements of one counsel for the Agent, reasonably incurred to the extent required by </w:t>
      </w:r>
      <w:r>
        <w:rPr>
          <w:rFonts w:ascii="Arial" w:cs="Arial" w:eastAsia="Arial" w:hAnsi="Arial"/>
          <w:sz w:val="18"/>
          <w:szCs w:val="18"/>
          <w:u w:val="single" w:color="auto"/>
          <w:color w:val="000000"/>
        </w:rPr>
        <w:t>Section 2.5(a)</w:t>
      </w:r>
      <w:r>
        <w:rPr>
          <w:rFonts w:ascii="Arial" w:cs="Arial" w:eastAsia="Arial" w:hAnsi="Arial"/>
          <w:sz w:val="18"/>
          <w:szCs w:val="18"/>
          <w:color w:val="000000"/>
        </w:rPr>
        <w:t xml:space="preserve"> of the Credit Agreement.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010000"/>
        </w:rPr>
        <w:t xml:space="preserve">Section 11: </w:t>
      </w:r>
      <w:r>
        <w:rPr>
          <w:rFonts w:ascii="Arial" w:cs="Arial" w:eastAsia="Arial" w:hAnsi="Arial"/>
          <w:sz w:val="18"/>
          <w:szCs w:val="18"/>
          <w:u w:val="single" w:color="auto"/>
          <w:color w:val="000000"/>
        </w:rPr>
        <w:t>Counterparts</w:t>
      </w:r>
      <w:r>
        <w:rPr>
          <w:rFonts w:ascii="Arial" w:cs="Arial" w:eastAsia="Arial" w:hAnsi="Arial"/>
          <w:sz w:val="18"/>
          <w:szCs w:val="18"/>
          <w:color w:val="000000"/>
        </w:rPr>
        <w:t>. This Amendment may be executed in any number of counterparts, all of which shall constitute one and the same</w:t>
      </w:r>
      <w:r>
        <w:rPr>
          <w:rFonts w:ascii="Arial" w:cs="Arial" w:eastAsia="Arial" w:hAnsi="Arial"/>
          <w:sz w:val="18"/>
          <w:szCs w:val="18"/>
          <w:color w:val="010000"/>
        </w:rPr>
        <w:t xml:space="preserve"> </w:t>
      </w:r>
      <w:r>
        <w:rPr>
          <w:rFonts w:ascii="Arial" w:cs="Arial" w:eastAsia="Arial" w:hAnsi="Arial"/>
          <w:sz w:val="18"/>
          <w:szCs w:val="18"/>
          <w:color w:val="000000"/>
        </w:rPr>
        <w:t>instrument, and any party hereto may execute this Amendment by signing and delivering one or more counterparts.</w:t>
      </w:r>
    </w:p>
    <w:p>
      <w:pPr>
        <w:spacing w:after="0" w:line="17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010000"/>
        </w:rPr>
        <w:t>Section 12:</w:t>
      </w:r>
      <w:r>
        <w:rPr>
          <w:sz w:val="20"/>
          <w:szCs w:val="20"/>
          <w:color w:val="auto"/>
        </w:rPr>
        <w:tab/>
      </w:r>
      <w:r>
        <w:rPr>
          <w:rFonts w:ascii="Arial" w:cs="Arial" w:eastAsia="Arial" w:hAnsi="Arial"/>
          <w:sz w:val="16"/>
          <w:szCs w:val="16"/>
          <w:u w:val="single" w:color="auto"/>
          <w:color w:val="auto"/>
        </w:rPr>
        <w:t>Benefit of Amendment</w:t>
      </w:r>
      <w:r>
        <w:rPr>
          <w:rFonts w:ascii="Arial" w:cs="Arial" w:eastAsia="Arial" w:hAnsi="Arial"/>
          <w:sz w:val="16"/>
          <w:szCs w:val="16"/>
          <w:color w:val="auto"/>
        </w:rPr>
        <w:t>. The provisions of this Amendment shall be binding upon and inure to the benefit of each of the parties hereto.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person, other than the parties hereto, shall be entitled to claim any right or benefit hereunder, as a third-party beneficiary or otherwise.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010000"/>
        </w:rPr>
        <w:t xml:space="preserve">Section 13: </w:t>
      </w:r>
      <w:r>
        <w:rPr>
          <w:rFonts w:ascii="Arial" w:cs="Arial" w:eastAsia="Arial" w:hAnsi="Arial"/>
          <w:sz w:val="18"/>
          <w:szCs w:val="18"/>
          <w:u w:val="single" w:color="auto"/>
          <w:color w:val="000000"/>
        </w:rPr>
        <w:t>Governing Law</w:t>
      </w:r>
      <w:r>
        <w:rPr>
          <w:rFonts w:ascii="Arial" w:cs="Arial" w:eastAsia="Arial" w:hAnsi="Arial"/>
          <w:sz w:val="18"/>
          <w:szCs w:val="18"/>
          <w:color w:val="000000"/>
        </w:rPr>
        <w:t>. This Amendment shall be governed by, and construed in accordance with, the laws of the State of New York, without</w:t>
      </w:r>
      <w:r>
        <w:rPr>
          <w:rFonts w:ascii="Arial" w:cs="Arial" w:eastAsia="Arial" w:hAnsi="Arial"/>
          <w:sz w:val="18"/>
          <w:szCs w:val="18"/>
          <w:color w:val="010000"/>
        </w:rPr>
        <w:t xml:space="preserve"> </w:t>
      </w:r>
      <w:r>
        <w:rPr>
          <w:rFonts w:ascii="Arial" w:cs="Arial" w:eastAsia="Arial" w:hAnsi="Arial"/>
          <w:sz w:val="18"/>
          <w:szCs w:val="18"/>
          <w:color w:val="000000"/>
        </w:rPr>
        <w:t>giving effect to the conflict of laws provisions thereof (other than Sections 5-1401 and 5-1402 of the New York General Obligations Law), which would result in the application of the laws of any other jurisdiction.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010000"/>
        </w:rPr>
        <w:t xml:space="preserve">Section 14: </w:t>
      </w:r>
      <w:r>
        <w:rPr>
          <w:rFonts w:ascii="Arial" w:cs="Arial" w:eastAsia="Arial" w:hAnsi="Arial"/>
          <w:sz w:val="17"/>
          <w:szCs w:val="17"/>
          <w:u w:val="single" w:color="auto"/>
          <w:color w:val="000000"/>
        </w:rPr>
        <w:t>No Novation</w:t>
      </w:r>
      <w:r>
        <w:rPr>
          <w:rFonts w:ascii="Arial" w:cs="Arial" w:eastAsia="Arial" w:hAnsi="Arial"/>
          <w:sz w:val="17"/>
          <w:szCs w:val="17"/>
          <w:color w:val="000000"/>
        </w:rPr>
        <w:t>. This Amendment is given in amendment and extension (but not in novation, extinguishment or satisfaction) of the Credit</w:t>
      </w:r>
      <w:r>
        <w:rPr>
          <w:rFonts w:ascii="Arial" w:cs="Arial" w:eastAsia="Arial" w:hAnsi="Arial"/>
          <w:sz w:val="17"/>
          <w:szCs w:val="17"/>
          <w:color w:val="010000"/>
        </w:rPr>
        <w:t xml:space="preserve"> </w:t>
      </w:r>
      <w:r>
        <w:rPr>
          <w:rFonts w:ascii="Arial" w:cs="Arial" w:eastAsia="Arial" w:hAnsi="Arial"/>
          <w:sz w:val="17"/>
          <w:szCs w:val="17"/>
          <w:color w:val="000000"/>
        </w:rPr>
        <w:t>Agreement. All Liens and security interests securing payment of the obligations under the Credit Agreement are hereby collectively renewed, extended, ratified and brought forward as security for the payment and performance of the Obligations. With respect to matters relating to the period prior to the date hereof, all of the provisions of the Credit Agreement, and the security agreements and other documents, instruments or agreements executed in connection therewith, are each hereby ratified and confirmed and shall remain in force and effect.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FOLLOW]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[AerSale]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3" w:name="page294"/>
    <w:bookmarkEnd w:id="293"/>
    <w:p>
      <w:pPr>
        <w:ind w:right="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each caused this Amendment to be duly executed by their duly authorized officers or</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attorney-in-fact, as the case may be, all as of the day and year first above written.</w:t>
      </w:r>
    </w:p>
    <w:p>
      <w:pPr>
        <w:spacing w:after="0" w:line="16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INC.</w:t>
      </w:r>
    </w:p>
    <w:p>
      <w:pPr>
        <w:spacing w:after="0" w:line="200" w:lineRule="exact"/>
        <w:rPr>
          <w:sz w:val="20"/>
          <w:szCs w:val="20"/>
          <w:color w:val="auto"/>
        </w:rPr>
      </w:pPr>
    </w:p>
    <w:p>
      <w:pPr>
        <w:spacing w:after="0" w:line="286" w:lineRule="exact"/>
        <w:rPr>
          <w:sz w:val="20"/>
          <w:szCs w:val="20"/>
          <w:color w:val="auto"/>
        </w:rPr>
      </w:pPr>
    </w:p>
    <w:tbl>
      <w:tblPr>
        <w:tblLayout w:type="fixed"/>
        <w:tblInd w:w="58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27"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USA I LLC</w:t>
      </w:r>
    </w:p>
    <w:p>
      <w:pPr>
        <w:spacing w:after="0" w:line="27"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23440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23441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23765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24423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25212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25260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25313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25314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25417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26342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26343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26346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27094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27469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27910 LLC</w:t>
      </w:r>
    </w:p>
    <w:p>
      <w:pPr>
        <w:spacing w:after="0" w:line="200" w:lineRule="exact"/>
        <w:rPr>
          <w:sz w:val="20"/>
          <w:szCs w:val="20"/>
          <w:color w:val="auto"/>
        </w:rPr>
      </w:pPr>
    </w:p>
    <w:p>
      <w:pPr>
        <w:spacing w:after="0" w:line="281" w:lineRule="exact"/>
        <w:rPr>
          <w:sz w:val="20"/>
          <w:szCs w:val="20"/>
          <w:color w:val="auto"/>
        </w:rPr>
      </w:pPr>
    </w:p>
    <w:tbl>
      <w:tblPr>
        <w:tblLayout w:type="fixed"/>
        <w:tblInd w:w="58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27"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AERSALE COMPONENT SOLUTIONS, INC.</w:t>
      </w:r>
    </w:p>
    <w:p>
      <w:pPr>
        <w:spacing w:after="0" w:line="200" w:lineRule="exact"/>
        <w:rPr>
          <w:sz w:val="20"/>
          <w:szCs w:val="20"/>
          <w:color w:val="auto"/>
        </w:rPr>
      </w:pPr>
    </w:p>
    <w:p>
      <w:pPr>
        <w:spacing w:after="0" w:line="286" w:lineRule="exact"/>
        <w:rPr>
          <w:sz w:val="20"/>
          <w:szCs w:val="20"/>
          <w:color w:val="auto"/>
        </w:rPr>
      </w:pPr>
    </w:p>
    <w:tbl>
      <w:tblPr>
        <w:tblLayout w:type="fixed"/>
        <w:tblInd w:w="58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A</w:t>
      </w:r>
      <w:r>
        <w:rPr>
          <w:rFonts w:ascii="Arial" w:cs="Arial" w:eastAsia="Arial" w:hAnsi="Arial"/>
          <w:sz w:val="14"/>
          <w:szCs w:val="14"/>
          <w:color w:val="auto"/>
        </w:rPr>
        <w:t>MENDMENT</w:t>
      </w:r>
      <w:r>
        <w:rPr>
          <w:rFonts w:ascii="Arial" w:cs="Arial" w:eastAsia="Arial" w:hAnsi="Arial"/>
          <w:sz w:val="22"/>
          <w:szCs w:val="22"/>
          <w:color w:val="auto"/>
        </w:rPr>
        <w:t xml:space="preserve"> N</w:t>
      </w:r>
      <w:r>
        <w:rPr>
          <w:rFonts w:ascii="Arial" w:cs="Arial" w:eastAsia="Arial" w:hAnsi="Arial"/>
          <w:sz w:val="14"/>
          <w:szCs w:val="14"/>
          <w:color w:val="auto"/>
        </w:rPr>
        <w:t>O</w:t>
      </w:r>
      <w:r>
        <w:rPr>
          <w:rFonts w:ascii="Arial" w:cs="Arial" w:eastAsia="Arial" w:hAnsi="Arial"/>
          <w:sz w:val="22"/>
          <w:szCs w:val="22"/>
          <w:color w:val="auto"/>
        </w:rPr>
        <w:t xml:space="preserve">. 2 </w:t>
      </w:r>
      <w:r>
        <w:rPr>
          <w:rFonts w:ascii="Arial" w:cs="Arial" w:eastAsia="Arial" w:hAnsi="Arial"/>
          <w:sz w:val="14"/>
          <w:szCs w:val="14"/>
          <w:color w:val="auto"/>
        </w:rPr>
        <w:t>TO</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4" w:name="page295"/>
    <w:bookmarkEnd w:id="294"/>
    <w:p>
      <w:pPr>
        <w:ind w:left="4740"/>
        <w:spacing w:after="0"/>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AERSALE</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AVIATION LIMITED</w:t>
      </w:r>
    </w:p>
    <w:p>
      <w:pPr>
        <w:spacing w:after="0" w:line="200" w:lineRule="exact"/>
        <w:rPr>
          <w:sz w:val="20"/>
          <w:szCs w:val="20"/>
          <w:color w:val="auto"/>
        </w:rPr>
      </w:pPr>
    </w:p>
    <w:p>
      <w:pPr>
        <w:spacing w:after="0" w:line="267"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Law</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Jonathan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31750</wp:posOffset>
            </wp:positionV>
            <wp:extent cx="306006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5">
                      <a:extLst>
                        <a:ext uri="{28A0092B-C50C-407E-A947-70E740481C1C}"/>
                      </a:extLst>
                    </a:blip>
                    <a:srcRect/>
                    <a:stretch>
                      <a:fillRect/>
                    </a:stretch>
                  </pic:blipFill>
                  <pic:spPr bwMode="auto">
                    <a:xfrm>
                      <a:off x="0" y="0"/>
                      <a:ext cx="306006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7">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10 Saint Alban's Road, Dublin 8, Ireland</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Designer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740"/>
        <w:spacing w:after="0" w:line="282" w:lineRule="auto"/>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AERSALE 25362</w:t>
      </w:r>
      <w:r>
        <w:rPr>
          <w:rFonts w:ascii="Arial" w:cs="Arial" w:eastAsia="Arial" w:hAnsi="Arial"/>
          <w:sz w:val="18"/>
          <w:szCs w:val="18"/>
          <w:color w:val="auto"/>
        </w:rPr>
        <w:t xml:space="preserve"> </w:t>
      </w:r>
      <w:r>
        <w:rPr>
          <w:rFonts w:ascii="Arial" w:cs="Arial" w:eastAsia="Arial" w:hAnsi="Arial"/>
          <w:sz w:val="18"/>
          <w:szCs w:val="18"/>
          <w:b w:val="1"/>
          <w:bCs w:val="1"/>
          <w:color w:val="auto"/>
        </w:rPr>
        <w:t>AVIATION LIMITED</w:t>
      </w:r>
    </w:p>
    <w:p>
      <w:pPr>
        <w:spacing w:after="0" w:line="200" w:lineRule="exact"/>
        <w:rPr>
          <w:sz w:val="20"/>
          <w:szCs w:val="20"/>
          <w:color w:val="auto"/>
        </w:rPr>
      </w:pPr>
    </w:p>
    <w:p>
      <w:pPr>
        <w:spacing w:after="0" w:line="222"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Law</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Jonathan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31750</wp:posOffset>
            </wp:positionV>
            <wp:extent cx="306006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3">
                      <a:extLst>
                        <a:ext uri="{28A0092B-C50C-407E-A947-70E740481C1C}"/>
                      </a:extLst>
                    </a:blip>
                    <a:srcRect/>
                    <a:stretch>
                      <a:fillRect/>
                    </a:stretch>
                  </pic:blipFill>
                  <pic:spPr bwMode="auto">
                    <a:xfrm>
                      <a:off x="0" y="0"/>
                      <a:ext cx="306006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10 Saint Alban's Road, Dublin 8, Ireland</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Designer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A</w:t>
      </w:r>
      <w:r>
        <w:rPr>
          <w:rFonts w:ascii="Arial" w:cs="Arial" w:eastAsia="Arial" w:hAnsi="Arial"/>
          <w:sz w:val="14"/>
          <w:szCs w:val="14"/>
          <w:color w:val="auto"/>
        </w:rPr>
        <w:t>MENDMENT</w:t>
      </w:r>
      <w:r>
        <w:rPr>
          <w:rFonts w:ascii="Arial" w:cs="Arial" w:eastAsia="Arial" w:hAnsi="Arial"/>
          <w:sz w:val="22"/>
          <w:szCs w:val="22"/>
          <w:color w:val="auto"/>
        </w:rPr>
        <w:t xml:space="preserve"> N</w:t>
      </w:r>
      <w:r>
        <w:rPr>
          <w:rFonts w:ascii="Arial" w:cs="Arial" w:eastAsia="Arial" w:hAnsi="Arial"/>
          <w:sz w:val="14"/>
          <w:szCs w:val="14"/>
          <w:color w:val="auto"/>
        </w:rPr>
        <w:t>O</w:t>
      </w:r>
      <w:r>
        <w:rPr>
          <w:rFonts w:ascii="Arial" w:cs="Arial" w:eastAsia="Arial" w:hAnsi="Arial"/>
          <w:sz w:val="22"/>
          <w:szCs w:val="22"/>
          <w:color w:val="auto"/>
        </w:rPr>
        <w:t xml:space="preserve">. 2 </w:t>
      </w:r>
      <w:r>
        <w:rPr>
          <w:rFonts w:ascii="Arial" w:cs="Arial" w:eastAsia="Arial" w:hAnsi="Arial"/>
          <w:sz w:val="14"/>
          <w:szCs w:val="14"/>
          <w:color w:val="auto"/>
        </w:rPr>
        <w:t>TO</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820"/>
          </w:cols>
          <w:pgMar w:left="1440" w:top="931" w:right="639" w:bottom="1440" w:gutter="0" w:footer="0" w:header="0"/>
        </w:sectPr>
      </w:pPr>
    </w:p>
    <w:bookmarkStart w:id="295" w:name="page296"/>
    <w:bookmarkEnd w:id="295"/>
    <w:p>
      <w:pPr>
        <w:ind w:left="4740"/>
        <w:spacing w:after="0" w:line="282" w:lineRule="auto"/>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AERSALE 25430</w:t>
      </w:r>
      <w:r>
        <w:rPr>
          <w:rFonts w:ascii="Arial" w:cs="Arial" w:eastAsia="Arial" w:hAnsi="Arial"/>
          <w:sz w:val="18"/>
          <w:szCs w:val="18"/>
          <w:color w:val="auto"/>
        </w:rPr>
        <w:t xml:space="preserve"> </w:t>
      </w:r>
      <w:r>
        <w:rPr>
          <w:rFonts w:ascii="Arial" w:cs="Arial" w:eastAsia="Arial" w:hAnsi="Arial"/>
          <w:sz w:val="18"/>
          <w:szCs w:val="18"/>
          <w:b w:val="1"/>
          <w:bCs w:val="1"/>
          <w:color w:val="auto"/>
        </w:rPr>
        <w:t>AVIATION LIMITED</w:t>
      </w:r>
    </w:p>
    <w:p>
      <w:pPr>
        <w:spacing w:after="0" w:line="200" w:lineRule="exact"/>
        <w:rPr>
          <w:sz w:val="20"/>
          <w:szCs w:val="20"/>
          <w:color w:val="auto"/>
        </w:rPr>
      </w:pPr>
    </w:p>
    <w:p>
      <w:pPr>
        <w:spacing w:after="0" w:line="222"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Law</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Jonathan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1">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3">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10 Saint Alban's Road, Dublin 8, Ireland</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Designer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740" w:right="40"/>
        <w:spacing w:after="0" w:line="282" w:lineRule="auto"/>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AERSALE 27469</w:t>
      </w:r>
      <w:r>
        <w:rPr>
          <w:rFonts w:ascii="Arial" w:cs="Arial" w:eastAsia="Arial" w:hAnsi="Arial"/>
          <w:sz w:val="18"/>
          <w:szCs w:val="18"/>
          <w:color w:val="auto"/>
        </w:rPr>
        <w:t xml:space="preserve"> </w:t>
      </w:r>
      <w:r>
        <w:rPr>
          <w:rFonts w:ascii="Arial" w:cs="Arial" w:eastAsia="Arial" w:hAnsi="Arial"/>
          <w:sz w:val="18"/>
          <w:szCs w:val="18"/>
          <w:b w:val="1"/>
          <w:bCs w:val="1"/>
          <w:color w:val="auto"/>
        </w:rPr>
        <w:t>AVIATION LIMITED</w:t>
      </w:r>
    </w:p>
    <w:p>
      <w:pPr>
        <w:spacing w:after="0" w:line="200" w:lineRule="exact"/>
        <w:rPr>
          <w:sz w:val="20"/>
          <w:szCs w:val="20"/>
          <w:color w:val="auto"/>
        </w:rPr>
      </w:pPr>
    </w:p>
    <w:p>
      <w:pPr>
        <w:spacing w:after="0" w:line="222"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Law</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Jonathan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8">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10 Saint Alban's Road, Dublin 8, Ireland</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3">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Designer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A</w:t>
      </w:r>
      <w:r>
        <w:rPr>
          <w:rFonts w:ascii="Arial" w:cs="Arial" w:eastAsia="Arial" w:hAnsi="Arial"/>
          <w:sz w:val="14"/>
          <w:szCs w:val="14"/>
          <w:color w:val="auto"/>
        </w:rPr>
        <w:t>MENDMENT</w:t>
      </w:r>
      <w:r>
        <w:rPr>
          <w:rFonts w:ascii="Arial" w:cs="Arial" w:eastAsia="Arial" w:hAnsi="Arial"/>
          <w:sz w:val="22"/>
          <w:szCs w:val="22"/>
          <w:color w:val="auto"/>
        </w:rPr>
        <w:t xml:space="preserve"> N</w:t>
      </w:r>
      <w:r>
        <w:rPr>
          <w:rFonts w:ascii="Arial" w:cs="Arial" w:eastAsia="Arial" w:hAnsi="Arial"/>
          <w:sz w:val="14"/>
          <w:szCs w:val="14"/>
          <w:color w:val="auto"/>
        </w:rPr>
        <w:t>O</w:t>
      </w:r>
      <w:r>
        <w:rPr>
          <w:rFonts w:ascii="Arial" w:cs="Arial" w:eastAsia="Arial" w:hAnsi="Arial"/>
          <w:sz w:val="22"/>
          <w:szCs w:val="22"/>
          <w:color w:val="auto"/>
        </w:rPr>
        <w:t xml:space="preserve">. 2 </w:t>
      </w:r>
      <w:r>
        <w:rPr>
          <w:rFonts w:ascii="Arial" w:cs="Arial" w:eastAsia="Arial" w:hAnsi="Arial"/>
          <w:sz w:val="14"/>
          <w:szCs w:val="14"/>
          <w:color w:val="auto"/>
        </w:rPr>
        <w:t>TO</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60"/>
          </w:cols>
          <w:pgMar w:left="1440" w:top="931" w:right="599" w:bottom="1440" w:gutter="0" w:footer="0" w:header="0"/>
        </w:sectPr>
      </w:pPr>
    </w:p>
    <w:bookmarkStart w:id="296" w:name="page297"/>
    <w:bookmarkEnd w:id="296"/>
    <w:p>
      <w:pPr>
        <w:ind w:left="4740"/>
        <w:spacing w:after="0" w:line="282" w:lineRule="auto"/>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AERSALE 27910</w:t>
      </w:r>
      <w:r>
        <w:rPr>
          <w:rFonts w:ascii="Arial" w:cs="Arial" w:eastAsia="Arial" w:hAnsi="Arial"/>
          <w:sz w:val="18"/>
          <w:szCs w:val="18"/>
          <w:color w:val="auto"/>
        </w:rPr>
        <w:t xml:space="preserve"> </w:t>
      </w:r>
      <w:r>
        <w:rPr>
          <w:rFonts w:ascii="Arial" w:cs="Arial" w:eastAsia="Arial" w:hAnsi="Arial"/>
          <w:sz w:val="18"/>
          <w:szCs w:val="18"/>
          <w:b w:val="1"/>
          <w:bCs w:val="1"/>
          <w:color w:val="auto"/>
        </w:rPr>
        <w:t>AVIATION LIMITED</w:t>
      </w:r>
    </w:p>
    <w:p>
      <w:pPr>
        <w:spacing w:after="0" w:line="200" w:lineRule="exact"/>
        <w:rPr>
          <w:sz w:val="20"/>
          <w:szCs w:val="20"/>
          <w:color w:val="auto"/>
        </w:rPr>
      </w:pPr>
    </w:p>
    <w:p>
      <w:pPr>
        <w:spacing w:after="0" w:line="222"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Law</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Jonathan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10 Saint Alban's Road, Dublin 8, Ireland</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Designer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740" w:right="40"/>
        <w:spacing w:after="0" w:line="282" w:lineRule="auto"/>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AERSALE 28149</w:t>
      </w:r>
      <w:r>
        <w:rPr>
          <w:rFonts w:ascii="Arial" w:cs="Arial" w:eastAsia="Arial" w:hAnsi="Arial"/>
          <w:sz w:val="18"/>
          <w:szCs w:val="18"/>
          <w:color w:val="auto"/>
        </w:rPr>
        <w:t xml:space="preserve"> </w:t>
      </w:r>
      <w:r>
        <w:rPr>
          <w:rFonts w:ascii="Arial" w:cs="Arial" w:eastAsia="Arial" w:hAnsi="Arial"/>
          <w:sz w:val="18"/>
          <w:szCs w:val="18"/>
          <w:b w:val="1"/>
          <w:bCs w:val="1"/>
          <w:color w:val="auto"/>
        </w:rPr>
        <w:t>AVIATION LIMITED</w:t>
      </w:r>
    </w:p>
    <w:p>
      <w:pPr>
        <w:spacing w:after="0" w:line="200" w:lineRule="exact"/>
        <w:rPr>
          <w:sz w:val="20"/>
          <w:szCs w:val="20"/>
          <w:color w:val="auto"/>
        </w:rPr>
      </w:pPr>
    </w:p>
    <w:p>
      <w:pPr>
        <w:spacing w:after="0" w:line="222"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Law</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Jonathan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10 Saint Alban's Road, Dublin 8, Ireland</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Designer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A</w:t>
      </w:r>
      <w:r>
        <w:rPr>
          <w:rFonts w:ascii="Arial" w:cs="Arial" w:eastAsia="Arial" w:hAnsi="Arial"/>
          <w:sz w:val="14"/>
          <w:szCs w:val="14"/>
          <w:color w:val="auto"/>
        </w:rPr>
        <w:t>MENDMENT</w:t>
      </w:r>
      <w:r>
        <w:rPr>
          <w:rFonts w:ascii="Arial" w:cs="Arial" w:eastAsia="Arial" w:hAnsi="Arial"/>
          <w:sz w:val="22"/>
          <w:szCs w:val="22"/>
          <w:color w:val="auto"/>
        </w:rPr>
        <w:t xml:space="preserve"> N</w:t>
      </w:r>
      <w:r>
        <w:rPr>
          <w:rFonts w:ascii="Arial" w:cs="Arial" w:eastAsia="Arial" w:hAnsi="Arial"/>
          <w:sz w:val="14"/>
          <w:szCs w:val="14"/>
          <w:color w:val="auto"/>
        </w:rPr>
        <w:t>O</w:t>
      </w:r>
      <w:r>
        <w:rPr>
          <w:rFonts w:ascii="Arial" w:cs="Arial" w:eastAsia="Arial" w:hAnsi="Arial"/>
          <w:sz w:val="22"/>
          <w:szCs w:val="22"/>
          <w:color w:val="auto"/>
        </w:rPr>
        <w:t xml:space="preserve">. 2 </w:t>
      </w:r>
      <w:r>
        <w:rPr>
          <w:rFonts w:ascii="Arial" w:cs="Arial" w:eastAsia="Arial" w:hAnsi="Arial"/>
          <w:sz w:val="14"/>
          <w:szCs w:val="14"/>
          <w:color w:val="auto"/>
        </w:rPr>
        <w:t>TO</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860"/>
          </w:cols>
          <w:pgMar w:left="1440" w:top="931" w:right="599" w:bottom="1440" w:gutter="0" w:footer="0" w:header="0"/>
        </w:sectPr>
      </w:pPr>
    </w:p>
    <w:bookmarkStart w:id="297" w:name="page298"/>
    <w:bookmarkEnd w:id="297"/>
    <w:p>
      <w:pPr>
        <w:ind w:left="4740"/>
        <w:spacing w:after="0" w:line="282" w:lineRule="auto"/>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CORAL GABLES 1</w:t>
      </w:r>
      <w:r>
        <w:rPr>
          <w:rFonts w:ascii="Arial" w:cs="Arial" w:eastAsia="Arial" w:hAnsi="Arial"/>
          <w:sz w:val="18"/>
          <w:szCs w:val="18"/>
          <w:color w:val="auto"/>
        </w:rPr>
        <w:t xml:space="preserve"> </w:t>
      </w:r>
      <w:r>
        <w:rPr>
          <w:rFonts w:ascii="Arial" w:cs="Arial" w:eastAsia="Arial" w:hAnsi="Arial"/>
          <w:sz w:val="18"/>
          <w:szCs w:val="18"/>
          <w:b w:val="1"/>
          <w:bCs w:val="1"/>
          <w:color w:val="auto"/>
        </w:rPr>
        <w:t>LIMITED</w:t>
      </w:r>
    </w:p>
    <w:p>
      <w:pPr>
        <w:spacing w:after="0" w:line="200" w:lineRule="exact"/>
        <w:rPr>
          <w:sz w:val="20"/>
          <w:szCs w:val="20"/>
          <w:color w:val="auto"/>
        </w:rPr>
      </w:pPr>
    </w:p>
    <w:p>
      <w:pPr>
        <w:spacing w:after="0" w:line="222"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Law</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Jonathan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3">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10 Saint Alban's Road, Dublin 8, Ireland</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Designer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740" w:right="40"/>
        <w:spacing w:after="0" w:line="282" w:lineRule="auto"/>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CORAL GABLES 2</w:t>
      </w:r>
      <w:r>
        <w:rPr>
          <w:rFonts w:ascii="Arial" w:cs="Arial" w:eastAsia="Arial" w:hAnsi="Arial"/>
          <w:sz w:val="18"/>
          <w:szCs w:val="18"/>
          <w:color w:val="auto"/>
        </w:rPr>
        <w:t xml:space="preserve"> </w:t>
      </w:r>
      <w:r>
        <w:rPr>
          <w:rFonts w:ascii="Arial" w:cs="Arial" w:eastAsia="Arial" w:hAnsi="Arial"/>
          <w:sz w:val="18"/>
          <w:szCs w:val="18"/>
          <w:b w:val="1"/>
          <w:bCs w:val="1"/>
          <w:color w:val="auto"/>
        </w:rPr>
        <w:t>LIMITED</w:t>
      </w:r>
    </w:p>
    <w:p>
      <w:pPr>
        <w:spacing w:after="0" w:line="200" w:lineRule="exact"/>
        <w:rPr>
          <w:sz w:val="20"/>
          <w:szCs w:val="20"/>
          <w:color w:val="auto"/>
        </w:rPr>
      </w:pPr>
    </w:p>
    <w:p>
      <w:pPr>
        <w:spacing w:after="0" w:line="222"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Law</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Jonathan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10 Saint Alban's Road, Dublin 8, Ireland</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3">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Designer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A</w:t>
      </w:r>
      <w:r>
        <w:rPr>
          <w:rFonts w:ascii="Arial" w:cs="Arial" w:eastAsia="Arial" w:hAnsi="Arial"/>
          <w:sz w:val="14"/>
          <w:szCs w:val="14"/>
          <w:color w:val="auto"/>
        </w:rPr>
        <w:t>MENDMENT</w:t>
      </w:r>
      <w:r>
        <w:rPr>
          <w:rFonts w:ascii="Arial" w:cs="Arial" w:eastAsia="Arial" w:hAnsi="Arial"/>
          <w:sz w:val="22"/>
          <w:szCs w:val="22"/>
          <w:color w:val="auto"/>
        </w:rPr>
        <w:t xml:space="preserve"> N</w:t>
      </w:r>
      <w:r>
        <w:rPr>
          <w:rFonts w:ascii="Arial" w:cs="Arial" w:eastAsia="Arial" w:hAnsi="Arial"/>
          <w:sz w:val="14"/>
          <w:szCs w:val="14"/>
          <w:color w:val="auto"/>
        </w:rPr>
        <w:t>O</w:t>
      </w:r>
      <w:r>
        <w:rPr>
          <w:rFonts w:ascii="Arial" w:cs="Arial" w:eastAsia="Arial" w:hAnsi="Arial"/>
          <w:sz w:val="22"/>
          <w:szCs w:val="22"/>
          <w:color w:val="auto"/>
        </w:rPr>
        <w:t xml:space="preserve">. 2 </w:t>
      </w:r>
      <w:r>
        <w:rPr>
          <w:rFonts w:ascii="Arial" w:cs="Arial" w:eastAsia="Arial" w:hAnsi="Arial"/>
          <w:sz w:val="14"/>
          <w:szCs w:val="14"/>
          <w:color w:val="auto"/>
        </w:rPr>
        <w:t>TO</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80"/>
          </w:cols>
          <w:pgMar w:left="1440" w:top="931" w:right="379" w:bottom="1440" w:gutter="0" w:footer="0" w:header="0"/>
        </w:sectPr>
      </w:pPr>
    </w:p>
    <w:bookmarkStart w:id="298" w:name="page299"/>
    <w:bookmarkEnd w:id="298"/>
    <w:p>
      <w:pPr>
        <w:ind w:left="4740"/>
        <w:spacing w:after="0"/>
        <w:rPr>
          <w:sz w:val="20"/>
          <w:szCs w:val="20"/>
          <w:color w:val="auto"/>
        </w:rPr>
      </w:pPr>
      <w:r>
        <w:rPr>
          <w:rFonts w:ascii="Arial" w:cs="Arial" w:eastAsia="Arial" w:hAnsi="Arial"/>
          <w:sz w:val="18"/>
          <w:szCs w:val="18"/>
          <w:color w:val="auto"/>
        </w:rPr>
        <w:t xml:space="preserve">Signed and delivered as a deed for and on behalf of </w:t>
      </w:r>
      <w:r>
        <w:rPr>
          <w:rFonts w:ascii="Arial" w:cs="Arial" w:eastAsia="Arial" w:hAnsi="Arial"/>
          <w:sz w:val="18"/>
          <w:szCs w:val="18"/>
          <w:b w:val="1"/>
          <w:bCs w:val="1"/>
          <w:color w:val="auto"/>
        </w:rPr>
        <w:t>AERSALE</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IRELAND 1 LIMITED</w:t>
      </w:r>
    </w:p>
    <w:p>
      <w:pPr>
        <w:spacing w:after="0" w:line="200" w:lineRule="exact"/>
        <w:rPr>
          <w:sz w:val="20"/>
          <w:szCs w:val="20"/>
          <w:color w:val="auto"/>
        </w:rPr>
      </w:pPr>
    </w:p>
    <w:p>
      <w:pPr>
        <w:spacing w:after="0" w:line="267"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Law</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Jonathan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Kieran Foley</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10 Saint Alban's Road, Dublin 8, Ireland</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Designer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-130175</wp:posOffset>
            </wp:positionV>
            <wp:extent cx="342011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AVBORNE ACCESSORY GROUP, INC.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29"/>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27" w:lineRule="exact"/>
        <w:rPr>
          <w:sz w:val="20"/>
          <w:szCs w:val="20"/>
          <w:color w:val="auto"/>
        </w:rPr>
      </w:pPr>
    </w:p>
    <w:p>
      <w:pPr>
        <w:ind w:left="4740" w:right="200"/>
        <w:spacing w:after="0" w:line="282" w:lineRule="auto"/>
        <w:rPr>
          <w:sz w:val="20"/>
          <w:szCs w:val="20"/>
          <w:color w:val="auto"/>
        </w:rPr>
      </w:pPr>
      <w:r>
        <w:rPr>
          <w:rFonts w:ascii="Arial" w:cs="Arial" w:eastAsia="Arial" w:hAnsi="Arial"/>
          <w:sz w:val="18"/>
          <w:szCs w:val="18"/>
          <w:b w:val="1"/>
          <w:bCs w:val="1"/>
          <w:color w:val="auto"/>
        </w:rPr>
        <w:t>BANK OF UTAH, not in its individual capacity but solely as Owner Trustee for the Aircraft MSN 24125 Trust</w:t>
      </w:r>
    </w:p>
    <w:p>
      <w:pPr>
        <w:spacing w:after="0" w:line="200" w:lineRule="exact"/>
        <w:rPr>
          <w:sz w:val="20"/>
          <w:szCs w:val="20"/>
          <w:color w:val="auto"/>
        </w:rPr>
      </w:pPr>
    </w:p>
    <w:p>
      <w:pPr>
        <w:spacing w:after="0" w:line="222" w:lineRule="exact"/>
        <w:rPr>
          <w:sz w:val="20"/>
          <w:szCs w:val="20"/>
          <w:color w:val="auto"/>
        </w:rPr>
      </w:pPr>
    </w:p>
    <w:tbl>
      <w:tblPr>
        <w:tblLayout w:type="fixed"/>
        <w:tblInd w:w="47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H. Pugsley</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Joseph H. Pugsley</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A</w:t>
      </w:r>
      <w:r>
        <w:rPr>
          <w:rFonts w:ascii="Arial" w:cs="Arial" w:eastAsia="Arial" w:hAnsi="Arial"/>
          <w:sz w:val="14"/>
          <w:szCs w:val="14"/>
          <w:color w:val="auto"/>
        </w:rPr>
        <w:t>MENDMENT</w:t>
      </w:r>
      <w:r>
        <w:rPr>
          <w:rFonts w:ascii="Arial" w:cs="Arial" w:eastAsia="Arial" w:hAnsi="Arial"/>
          <w:sz w:val="22"/>
          <w:szCs w:val="22"/>
          <w:color w:val="auto"/>
        </w:rPr>
        <w:t xml:space="preserve"> N</w:t>
      </w:r>
      <w:r>
        <w:rPr>
          <w:rFonts w:ascii="Arial" w:cs="Arial" w:eastAsia="Arial" w:hAnsi="Arial"/>
          <w:sz w:val="14"/>
          <w:szCs w:val="14"/>
          <w:color w:val="auto"/>
        </w:rPr>
        <w:t>O</w:t>
      </w:r>
      <w:r>
        <w:rPr>
          <w:rFonts w:ascii="Arial" w:cs="Arial" w:eastAsia="Arial" w:hAnsi="Arial"/>
          <w:sz w:val="22"/>
          <w:szCs w:val="22"/>
          <w:color w:val="auto"/>
        </w:rPr>
        <w:t xml:space="preserve">. 2 </w:t>
      </w:r>
      <w:r>
        <w:rPr>
          <w:rFonts w:ascii="Arial" w:cs="Arial" w:eastAsia="Arial" w:hAnsi="Arial"/>
          <w:sz w:val="14"/>
          <w:szCs w:val="14"/>
          <w:color w:val="auto"/>
        </w:rPr>
        <w:t>TO</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99" w:name="page300"/>
    <w:bookmarkEnd w:id="299"/>
    <w:p>
      <w:pPr>
        <w:ind w:left="4740"/>
        <w:spacing w:after="0"/>
        <w:rPr>
          <w:sz w:val="20"/>
          <w:szCs w:val="20"/>
          <w:color w:val="auto"/>
        </w:rPr>
      </w:pPr>
      <w:r>
        <w:rPr>
          <w:rFonts w:ascii="Arial" w:cs="Arial" w:eastAsia="Arial" w:hAnsi="Arial"/>
          <w:sz w:val="18"/>
          <w:szCs w:val="18"/>
          <w:b w:val="1"/>
          <w:bCs w:val="1"/>
          <w:color w:val="auto"/>
        </w:rPr>
        <w:t>AERSALE USA 2 SUB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29"/>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QWEST AIR PARTS,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29"/>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Q2 AVIATION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27" w:lineRule="exact"/>
        <w:rPr>
          <w:sz w:val="20"/>
          <w:szCs w:val="20"/>
          <w:color w:val="auto"/>
        </w:rPr>
      </w:pPr>
    </w:p>
    <w:p>
      <w:pPr>
        <w:jc w:val="right"/>
        <w:ind w:right="1320"/>
        <w:spacing w:after="0"/>
        <w:rPr>
          <w:sz w:val="20"/>
          <w:szCs w:val="20"/>
          <w:color w:val="auto"/>
        </w:rPr>
      </w:pPr>
      <w:r>
        <w:rPr>
          <w:rFonts w:ascii="Arial" w:cs="Arial" w:eastAsia="Arial" w:hAnsi="Arial"/>
          <w:sz w:val="18"/>
          <w:szCs w:val="18"/>
          <w:b w:val="1"/>
          <w:bCs w:val="1"/>
          <w:color w:val="auto"/>
        </w:rPr>
        <w:t>AIRCRAFT COMPOSITE TECHNOLOGIES, INC.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A</w:t>
      </w:r>
      <w:r>
        <w:rPr>
          <w:rFonts w:ascii="Arial" w:cs="Arial" w:eastAsia="Arial" w:hAnsi="Arial"/>
          <w:sz w:val="14"/>
          <w:szCs w:val="14"/>
          <w:color w:val="auto"/>
        </w:rPr>
        <w:t>MENDMENT</w:t>
      </w:r>
      <w:r>
        <w:rPr>
          <w:rFonts w:ascii="Arial" w:cs="Arial" w:eastAsia="Arial" w:hAnsi="Arial"/>
          <w:sz w:val="22"/>
          <w:szCs w:val="22"/>
          <w:color w:val="auto"/>
        </w:rPr>
        <w:t xml:space="preserve"> N</w:t>
      </w:r>
      <w:r>
        <w:rPr>
          <w:rFonts w:ascii="Arial" w:cs="Arial" w:eastAsia="Arial" w:hAnsi="Arial"/>
          <w:sz w:val="14"/>
          <w:szCs w:val="14"/>
          <w:color w:val="auto"/>
        </w:rPr>
        <w:t>O</w:t>
      </w:r>
      <w:r>
        <w:rPr>
          <w:rFonts w:ascii="Arial" w:cs="Arial" w:eastAsia="Arial" w:hAnsi="Arial"/>
          <w:sz w:val="22"/>
          <w:szCs w:val="22"/>
          <w:color w:val="auto"/>
        </w:rPr>
        <w:t xml:space="preserve">. 2 </w:t>
      </w:r>
      <w:r>
        <w:rPr>
          <w:rFonts w:ascii="Arial" w:cs="Arial" w:eastAsia="Arial" w:hAnsi="Arial"/>
          <w:sz w:val="14"/>
          <w:szCs w:val="14"/>
          <w:color w:val="auto"/>
        </w:rPr>
        <w:t>TO</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color w:val="auto"/>
        </w:rPr>
        <w:t>AERSALE AVIATION INC.</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29"/>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AERSALE CORPORATION</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29"/>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MONOCLE PARENT LLC</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Finazzo</w:t>
            </w:r>
          </w:p>
        </w:tc>
      </w:tr>
      <w:tr>
        <w:trPr>
          <w:trHeight w:val="230"/>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Nicolas Finazzo</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right"/>
        <w:ind w:right="15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2 </w:t>
      </w:r>
      <w:r>
        <w:rPr>
          <w:rFonts w:ascii="Arial" w:cs="Arial" w:eastAsia="Arial" w:hAnsi="Arial"/>
          <w:sz w:val="12"/>
          <w:szCs w:val="12"/>
          <w:color w:val="auto"/>
        </w:rPr>
        <w:t>TO</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301" w:name="page302"/>
    <w:bookmarkEnd w:id="301"/>
    <w:p>
      <w:pPr>
        <w:ind w:left="4740"/>
        <w:spacing w:after="0" w:line="282" w:lineRule="auto"/>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as Agent and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200" w:lineRule="exact"/>
        <w:rPr>
          <w:sz w:val="20"/>
          <w:szCs w:val="20"/>
          <w:color w:val="auto"/>
        </w:rPr>
      </w:pPr>
    </w:p>
    <w:p>
      <w:pPr>
        <w:spacing w:after="0" w:line="222"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Cameron Scott</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Cameron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31750</wp:posOffset>
            </wp:positionV>
            <wp:extent cx="306006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7">
                      <a:extLst>
                        <a:ext uri="{28A0092B-C50C-407E-A947-70E740481C1C}"/>
                      </a:extLst>
                    </a:blip>
                    <a:srcRect/>
                    <a:stretch>
                      <a:fillRect/>
                    </a:stretch>
                  </pic:blipFill>
                  <pic:spPr bwMode="auto">
                    <a:xfrm>
                      <a:off x="0" y="0"/>
                      <a:ext cx="3060065"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6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A</w:t>
      </w:r>
      <w:r>
        <w:rPr>
          <w:rFonts w:ascii="Arial" w:cs="Arial" w:eastAsia="Arial" w:hAnsi="Arial"/>
          <w:sz w:val="14"/>
          <w:szCs w:val="14"/>
          <w:color w:val="auto"/>
        </w:rPr>
        <w:t>MENDMENT</w:t>
      </w:r>
      <w:r>
        <w:rPr>
          <w:rFonts w:ascii="Arial" w:cs="Arial" w:eastAsia="Arial" w:hAnsi="Arial"/>
          <w:sz w:val="22"/>
          <w:szCs w:val="22"/>
          <w:color w:val="auto"/>
        </w:rPr>
        <w:t xml:space="preserve"> N</w:t>
      </w:r>
      <w:r>
        <w:rPr>
          <w:rFonts w:ascii="Arial" w:cs="Arial" w:eastAsia="Arial" w:hAnsi="Arial"/>
          <w:sz w:val="14"/>
          <w:szCs w:val="14"/>
          <w:color w:val="auto"/>
        </w:rPr>
        <w:t>O</w:t>
      </w:r>
      <w:r>
        <w:rPr>
          <w:rFonts w:ascii="Arial" w:cs="Arial" w:eastAsia="Arial" w:hAnsi="Arial"/>
          <w:sz w:val="22"/>
          <w:szCs w:val="22"/>
          <w:color w:val="auto"/>
        </w:rPr>
        <w:t xml:space="preserve">. 2 </w:t>
      </w:r>
      <w:r>
        <w:rPr>
          <w:rFonts w:ascii="Arial" w:cs="Arial" w:eastAsia="Arial" w:hAnsi="Arial"/>
          <w:sz w:val="14"/>
          <w:szCs w:val="14"/>
          <w:color w:val="auto"/>
        </w:rPr>
        <w:t>TO</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2" w:name="page303"/>
    <w:bookmarkEnd w:id="302"/>
    <w:p>
      <w:pPr>
        <w:ind w:left="4740"/>
        <w:spacing w:after="0"/>
        <w:rPr>
          <w:sz w:val="20"/>
          <w:szCs w:val="20"/>
          <w:color w:val="auto"/>
        </w:rPr>
      </w:pPr>
      <w:r>
        <w:rPr>
          <w:rFonts w:ascii="Arial" w:cs="Arial" w:eastAsia="Arial" w:hAnsi="Arial"/>
          <w:sz w:val="18"/>
          <w:szCs w:val="18"/>
          <w:b w:val="1"/>
          <w:bCs w:val="1"/>
          <w:color w:val="auto"/>
        </w:rPr>
        <w:t>WELLS FARGO CAPITAL FINANCE (UK) LIMITED</w:t>
      </w:r>
      <w:r>
        <w:rPr>
          <w:rFonts w:ascii="Arial" w:cs="Arial" w:eastAsia="Arial" w:hAnsi="Arial"/>
          <w:sz w:val="18"/>
          <w:szCs w:val="18"/>
          <w:color w:val="auto"/>
        </w:rPr>
        <w:t>, as a Lender</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S.J. Chait</w:t>
            </w:r>
          </w:p>
        </w:tc>
      </w:tr>
      <w:tr>
        <w:trPr>
          <w:trHeight w:val="229"/>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 Chait</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A</w:t>
      </w:r>
      <w:r>
        <w:rPr>
          <w:rFonts w:ascii="Arial" w:cs="Arial" w:eastAsia="Arial" w:hAnsi="Arial"/>
          <w:sz w:val="14"/>
          <w:szCs w:val="14"/>
          <w:color w:val="auto"/>
        </w:rPr>
        <w:t>MENDMENT</w:t>
      </w:r>
      <w:r>
        <w:rPr>
          <w:rFonts w:ascii="Arial" w:cs="Arial" w:eastAsia="Arial" w:hAnsi="Arial"/>
          <w:sz w:val="22"/>
          <w:szCs w:val="22"/>
          <w:color w:val="auto"/>
        </w:rPr>
        <w:t xml:space="preserve"> N</w:t>
      </w:r>
      <w:r>
        <w:rPr>
          <w:rFonts w:ascii="Arial" w:cs="Arial" w:eastAsia="Arial" w:hAnsi="Arial"/>
          <w:sz w:val="14"/>
          <w:szCs w:val="14"/>
          <w:color w:val="auto"/>
        </w:rPr>
        <w:t>O</w:t>
      </w:r>
      <w:r>
        <w:rPr>
          <w:rFonts w:ascii="Arial" w:cs="Arial" w:eastAsia="Arial" w:hAnsi="Arial"/>
          <w:sz w:val="22"/>
          <w:szCs w:val="22"/>
          <w:color w:val="auto"/>
        </w:rPr>
        <w:t xml:space="preserve">. 2 </w:t>
      </w:r>
      <w:r>
        <w:rPr>
          <w:rFonts w:ascii="Arial" w:cs="Arial" w:eastAsia="Arial" w:hAnsi="Arial"/>
          <w:sz w:val="14"/>
          <w:szCs w:val="14"/>
          <w:color w:val="auto"/>
        </w:rPr>
        <w:t>TO</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303" w:name="page304"/>
    <w:bookmarkEnd w:id="303"/>
    <w:p>
      <w:pPr>
        <w:jc w:val="right"/>
        <w:ind w:right="179"/>
        <w:spacing w:after="0"/>
        <w:rPr>
          <w:sz w:val="20"/>
          <w:szCs w:val="20"/>
          <w:color w:val="auto"/>
        </w:rPr>
      </w:pPr>
      <w:r>
        <w:rPr>
          <w:rFonts w:ascii="Arial" w:cs="Arial" w:eastAsia="Arial" w:hAnsi="Arial"/>
          <w:sz w:val="18"/>
          <w:szCs w:val="18"/>
          <w:b w:val="1"/>
          <w:bCs w:val="1"/>
          <w:color w:val="auto"/>
        </w:rPr>
        <w:t>CITY NATIONAL BANK OF FLORIDA</w:t>
      </w:r>
      <w:r>
        <w:rPr>
          <w:rFonts w:ascii="Arial" w:cs="Arial" w:eastAsia="Arial" w:hAnsi="Arial"/>
          <w:sz w:val="18"/>
          <w:szCs w:val="18"/>
          <w:color w:val="auto"/>
        </w:rPr>
        <w:t>, as a Lender</w:t>
      </w:r>
    </w:p>
    <w:p>
      <w:pPr>
        <w:spacing w:after="0" w:line="200" w:lineRule="exact"/>
        <w:rPr>
          <w:sz w:val="20"/>
          <w:szCs w:val="20"/>
          <w:color w:val="auto"/>
        </w:rPr>
      </w:pPr>
    </w:p>
    <w:p>
      <w:pPr>
        <w:spacing w:after="0" w:line="286"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Mangram</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Greg Mangram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31750</wp:posOffset>
            </wp:positionV>
            <wp:extent cx="306006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2">
                      <a:extLst>
                        <a:ext uri="{28A0092B-C50C-407E-A947-70E740481C1C}"/>
                      </a:extLst>
                    </a:blip>
                    <a:srcRect/>
                    <a:stretch>
                      <a:fillRect/>
                    </a:stretch>
                  </pic:blipFill>
                  <pic:spPr bwMode="auto">
                    <a:xfrm>
                      <a:off x="0" y="0"/>
                      <a:ext cx="306006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A</w:t>
      </w:r>
      <w:r>
        <w:rPr>
          <w:rFonts w:ascii="Arial" w:cs="Arial" w:eastAsia="Arial" w:hAnsi="Arial"/>
          <w:sz w:val="14"/>
          <w:szCs w:val="14"/>
          <w:color w:val="auto"/>
        </w:rPr>
        <w:t>MENDMENT</w:t>
      </w:r>
      <w:r>
        <w:rPr>
          <w:rFonts w:ascii="Arial" w:cs="Arial" w:eastAsia="Arial" w:hAnsi="Arial"/>
          <w:sz w:val="22"/>
          <w:szCs w:val="22"/>
          <w:color w:val="auto"/>
        </w:rPr>
        <w:t xml:space="preserve"> N</w:t>
      </w:r>
      <w:r>
        <w:rPr>
          <w:rFonts w:ascii="Arial" w:cs="Arial" w:eastAsia="Arial" w:hAnsi="Arial"/>
          <w:sz w:val="14"/>
          <w:szCs w:val="14"/>
          <w:color w:val="auto"/>
        </w:rPr>
        <w:t>O</w:t>
      </w:r>
      <w:r>
        <w:rPr>
          <w:rFonts w:ascii="Arial" w:cs="Arial" w:eastAsia="Arial" w:hAnsi="Arial"/>
          <w:sz w:val="22"/>
          <w:szCs w:val="22"/>
          <w:color w:val="auto"/>
        </w:rPr>
        <w:t xml:space="preserve">. 2 </w:t>
      </w:r>
      <w:r>
        <w:rPr>
          <w:rFonts w:ascii="Arial" w:cs="Arial" w:eastAsia="Arial" w:hAnsi="Arial"/>
          <w:sz w:val="14"/>
          <w:szCs w:val="14"/>
          <w:color w:val="auto"/>
        </w:rPr>
        <w:t>TO</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304" w:name="page305"/>
    <w:bookmarkEnd w:id="304"/>
    <w:p>
      <w:pPr>
        <w:ind w:left="4740"/>
        <w:spacing w:after="0"/>
        <w:rPr>
          <w:sz w:val="20"/>
          <w:szCs w:val="20"/>
          <w:color w:val="auto"/>
        </w:rPr>
      </w:pPr>
      <w:r>
        <w:rPr>
          <w:rFonts w:ascii="Arial" w:cs="Arial" w:eastAsia="Arial" w:hAnsi="Arial"/>
          <w:sz w:val="18"/>
          <w:szCs w:val="18"/>
          <w:b w:val="1"/>
          <w:bCs w:val="1"/>
          <w:color w:val="auto"/>
        </w:rPr>
        <w:t>BANK UNITED, N.A.</w:t>
      </w:r>
      <w:r>
        <w:rPr>
          <w:rFonts w:ascii="Arial" w:cs="Arial" w:eastAsia="Arial" w:hAnsi="Arial"/>
          <w:sz w:val="18"/>
          <w:szCs w:val="18"/>
          <w:color w:val="auto"/>
        </w:rPr>
        <w:t>, as an Exiting Lender</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Carlos E. Perez</w:t>
            </w:r>
          </w:p>
        </w:tc>
      </w:tr>
      <w:tr>
        <w:trPr>
          <w:trHeight w:val="229"/>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Carlos E. Perez</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2 </w:t>
      </w:r>
      <w:r>
        <w:rPr>
          <w:rFonts w:ascii="Arial" w:cs="Arial" w:eastAsia="Arial" w:hAnsi="Arial"/>
          <w:sz w:val="12"/>
          <w:szCs w:val="12"/>
          <w:color w:val="auto"/>
        </w:rPr>
        <w:t>TO</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 as an Exiting Lender</w:t>
      </w:r>
    </w:p>
    <w:p>
      <w:pPr>
        <w:spacing w:after="0" w:line="200" w:lineRule="exact"/>
        <w:rPr>
          <w:sz w:val="20"/>
          <w:szCs w:val="20"/>
          <w:color w:val="auto"/>
        </w:rPr>
      </w:pPr>
    </w:p>
    <w:p>
      <w:pPr>
        <w:spacing w:after="0" w:line="245"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Fred Kiehne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Fred Kiehne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A</w:t>
      </w:r>
      <w:r>
        <w:rPr>
          <w:rFonts w:ascii="Arial" w:cs="Arial" w:eastAsia="Arial" w:hAnsi="Arial"/>
          <w:sz w:val="14"/>
          <w:szCs w:val="14"/>
          <w:color w:val="auto"/>
        </w:rPr>
        <w:t>MENDMENT</w:t>
      </w:r>
      <w:r>
        <w:rPr>
          <w:rFonts w:ascii="Arial" w:cs="Arial" w:eastAsia="Arial" w:hAnsi="Arial"/>
          <w:sz w:val="22"/>
          <w:szCs w:val="22"/>
          <w:color w:val="auto"/>
        </w:rPr>
        <w:t xml:space="preserve"> N</w:t>
      </w:r>
      <w:r>
        <w:rPr>
          <w:rFonts w:ascii="Arial" w:cs="Arial" w:eastAsia="Arial" w:hAnsi="Arial"/>
          <w:sz w:val="14"/>
          <w:szCs w:val="14"/>
          <w:color w:val="auto"/>
        </w:rPr>
        <w:t>O</w:t>
      </w:r>
      <w:r>
        <w:rPr>
          <w:rFonts w:ascii="Arial" w:cs="Arial" w:eastAsia="Arial" w:hAnsi="Arial"/>
          <w:sz w:val="22"/>
          <w:szCs w:val="22"/>
          <w:color w:val="auto"/>
        </w:rPr>
        <w:t xml:space="preserve">. 2 </w:t>
      </w:r>
      <w:r>
        <w:rPr>
          <w:rFonts w:ascii="Arial" w:cs="Arial" w:eastAsia="Arial" w:hAnsi="Arial"/>
          <w:sz w:val="14"/>
          <w:szCs w:val="14"/>
          <w:color w:val="auto"/>
        </w:rPr>
        <w:t>TO</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80"/>
          </w:cols>
          <w:pgMar w:left="1440" w:top="904" w:right="879" w:bottom="1440" w:gutter="0" w:footer="0" w:header="0"/>
        </w:sectPr>
      </w:pPr>
    </w:p>
    <w:bookmarkStart w:id="306" w:name="page307"/>
    <w:bookmarkEnd w:id="306"/>
    <w:p>
      <w:pPr>
        <w:ind w:left="4740"/>
        <w:spacing w:after="0"/>
        <w:rPr>
          <w:sz w:val="20"/>
          <w:szCs w:val="20"/>
          <w:color w:val="auto"/>
        </w:rPr>
      </w:pPr>
      <w:r>
        <w:rPr>
          <w:rFonts w:ascii="Arial" w:cs="Arial" w:eastAsia="Arial" w:hAnsi="Arial"/>
          <w:sz w:val="18"/>
          <w:szCs w:val="18"/>
          <w:b w:val="1"/>
          <w:bCs w:val="1"/>
          <w:color w:val="auto"/>
        </w:rPr>
        <w:t>CIBC BANK USA</w:t>
      </w:r>
      <w:r>
        <w:rPr>
          <w:rFonts w:ascii="Arial" w:cs="Arial" w:eastAsia="Arial" w:hAnsi="Arial"/>
          <w:sz w:val="18"/>
          <w:szCs w:val="18"/>
          <w:color w:val="auto"/>
        </w:rPr>
        <w:t>, as a New Lender and as Syndication Agent</w:t>
      </w:r>
    </w:p>
    <w:p>
      <w:pPr>
        <w:spacing w:after="0" w:line="200" w:lineRule="exact"/>
        <w:rPr>
          <w:sz w:val="20"/>
          <w:szCs w:val="20"/>
          <w:color w:val="auto"/>
        </w:rPr>
      </w:pPr>
    </w:p>
    <w:p>
      <w:pPr>
        <w:spacing w:after="0" w:line="245"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Javier Gutierrez</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Javier Gutierrez</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A</w:t>
      </w:r>
      <w:r>
        <w:rPr>
          <w:rFonts w:ascii="Arial" w:cs="Arial" w:eastAsia="Arial" w:hAnsi="Arial"/>
          <w:sz w:val="14"/>
          <w:szCs w:val="14"/>
          <w:color w:val="auto"/>
        </w:rPr>
        <w:t>MENDMENT</w:t>
      </w:r>
      <w:r>
        <w:rPr>
          <w:rFonts w:ascii="Arial" w:cs="Arial" w:eastAsia="Arial" w:hAnsi="Arial"/>
          <w:sz w:val="22"/>
          <w:szCs w:val="22"/>
          <w:color w:val="auto"/>
        </w:rPr>
        <w:t xml:space="preserve"> N</w:t>
      </w:r>
      <w:r>
        <w:rPr>
          <w:rFonts w:ascii="Arial" w:cs="Arial" w:eastAsia="Arial" w:hAnsi="Arial"/>
          <w:sz w:val="14"/>
          <w:szCs w:val="14"/>
          <w:color w:val="auto"/>
        </w:rPr>
        <w:t>O</w:t>
      </w:r>
      <w:r>
        <w:rPr>
          <w:rFonts w:ascii="Arial" w:cs="Arial" w:eastAsia="Arial" w:hAnsi="Arial"/>
          <w:sz w:val="22"/>
          <w:szCs w:val="22"/>
          <w:color w:val="auto"/>
        </w:rPr>
        <w:t xml:space="preserve">. 2 </w:t>
      </w:r>
      <w:r>
        <w:rPr>
          <w:rFonts w:ascii="Arial" w:cs="Arial" w:eastAsia="Arial" w:hAnsi="Arial"/>
          <w:sz w:val="14"/>
          <w:szCs w:val="14"/>
          <w:color w:val="auto"/>
        </w:rPr>
        <w:t>TO</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307" w:name="page308"/>
    <w:bookmarkEnd w:id="307"/>
    <w:p>
      <w:pPr>
        <w:ind w:left="4740"/>
        <w:spacing w:after="0" w:line="282" w:lineRule="auto"/>
        <w:rPr>
          <w:sz w:val="20"/>
          <w:szCs w:val="20"/>
          <w:color w:val="auto"/>
        </w:rPr>
      </w:pPr>
      <w:r>
        <w:rPr>
          <w:rFonts w:ascii="Arial" w:cs="Arial" w:eastAsia="Arial" w:hAnsi="Arial"/>
          <w:sz w:val="18"/>
          <w:szCs w:val="18"/>
          <w:b w:val="1"/>
          <w:bCs w:val="1"/>
          <w:color w:val="auto"/>
        </w:rPr>
        <w:t>FIFTH THIRD BANK, NATIONAL ASSOCIATION</w:t>
      </w:r>
      <w:r>
        <w:rPr>
          <w:rFonts w:ascii="Arial" w:cs="Arial" w:eastAsia="Arial" w:hAnsi="Arial"/>
          <w:sz w:val="18"/>
          <w:szCs w:val="18"/>
          <w:color w:val="auto"/>
        </w:rPr>
        <w:t>, as a New</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382"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Vivian Premock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Vivian Premock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A</w:t>
      </w:r>
      <w:r>
        <w:rPr>
          <w:rFonts w:ascii="Arial" w:cs="Arial" w:eastAsia="Arial" w:hAnsi="Arial"/>
          <w:sz w:val="14"/>
          <w:szCs w:val="14"/>
          <w:color w:val="auto"/>
        </w:rPr>
        <w:t>MENDMENT</w:t>
      </w:r>
      <w:r>
        <w:rPr>
          <w:rFonts w:ascii="Arial" w:cs="Arial" w:eastAsia="Arial" w:hAnsi="Arial"/>
          <w:sz w:val="22"/>
          <w:szCs w:val="22"/>
          <w:color w:val="auto"/>
        </w:rPr>
        <w:t xml:space="preserve"> N</w:t>
      </w:r>
      <w:r>
        <w:rPr>
          <w:rFonts w:ascii="Arial" w:cs="Arial" w:eastAsia="Arial" w:hAnsi="Arial"/>
          <w:sz w:val="14"/>
          <w:szCs w:val="14"/>
          <w:color w:val="auto"/>
        </w:rPr>
        <w:t>O</w:t>
      </w:r>
      <w:r>
        <w:rPr>
          <w:rFonts w:ascii="Arial" w:cs="Arial" w:eastAsia="Arial" w:hAnsi="Arial"/>
          <w:sz w:val="22"/>
          <w:szCs w:val="22"/>
          <w:color w:val="auto"/>
        </w:rPr>
        <w:t xml:space="preserve">. 2 </w:t>
      </w:r>
      <w:r>
        <w:rPr>
          <w:rFonts w:ascii="Arial" w:cs="Arial" w:eastAsia="Arial" w:hAnsi="Arial"/>
          <w:sz w:val="14"/>
          <w:szCs w:val="14"/>
          <w:color w:val="auto"/>
        </w:rPr>
        <w:t>TO</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580"/>
          </w:cols>
          <w:pgMar w:left="1440" w:top="931" w:right="879" w:bottom="1440" w:gutter="0" w:footer="0" w:header="0"/>
        </w:sectPr>
      </w:pPr>
    </w:p>
    <w:bookmarkStart w:id="308" w:name="page309"/>
    <w:bookmarkEnd w:id="308"/>
    <w:p>
      <w:pPr>
        <w:ind w:left="4740"/>
        <w:spacing w:after="0"/>
        <w:rPr>
          <w:sz w:val="20"/>
          <w:szCs w:val="20"/>
          <w:color w:val="auto"/>
        </w:rPr>
      </w:pPr>
      <w:r>
        <w:rPr>
          <w:rFonts w:ascii="Arial" w:cs="Arial" w:eastAsia="Arial" w:hAnsi="Arial"/>
          <w:sz w:val="18"/>
          <w:szCs w:val="18"/>
          <w:b w:val="1"/>
          <w:bCs w:val="1"/>
          <w:color w:val="auto"/>
        </w:rPr>
        <w:t>FIRST HORIZON BANK</w:t>
      </w:r>
      <w:r>
        <w:rPr>
          <w:rFonts w:ascii="Arial" w:cs="Arial" w:eastAsia="Arial" w:hAnsi="Arial"/>
          <w:sz w:val="18"/>
          <w:szCs w:val="18"/>
          <w:color w:val="auto"/>
        </w:rPr>
        <w:t>, as a New Lender</w:t>
      </w:r>
    </w:p>
    <w:p>
      <w:pPr>
        <w:spacing w:after="0" w:line="200" w:lineRule="exact"/>
        <w:rPr>
          <w:sz w:val="20"/>
          <w:szCs w:val="20"/>
          <w:color w:val="auto"/>
        </w:rPr>
      </w:pPr>
    </w:p>
    <w:p>
      <w:pPr>
        <w:spacing w:after="0" w:line="245"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Dilian G. Schulz</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Dilian G. Schulz</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bl>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A</w:t>
      </w:r>
      <w:r>
        <w:rPr>
          <w:rFonts w:ascii="Arial" w:cs="Arial" w:eastAsia="Arial" w:hAnsi="Arial"/>
          <w:sz w:val="14"/>
          <w:szCs w:val="14"/>
          <w:color w:val="auto"/>
        </w:rPr>
        <w:t>MENDMENT</w:t>
      </w:r>
      <w:r>
        <w:rPr>
          <w:rFonts w:ascii="Arial" w:cs="Arial" w:eastAsia="Arial" w:hAnsi="Arial"/>
          <w:sz w:val="22"/>
          <w:szCs w:val="22"/>
          <w:color w:val="auto"/>
        </w:rPr>
        <w:t xml:space="preserve"> N</w:t>
      </w:r>
      <w:r>
        <w:rPr>
          <w:rFonts w:ascii="Arial" w:cs="Arial" w:eastAsia="Arial" w:hAnsi="Arial"/>
          <w:sz w:val="14"/>
          <w:szCs w:val="14"/>
          <w:color w:val="auto"/>
        </w:rPr>
        <w:t>O</w:t>
      </w:r>
      <w:r>
        <w:rPr>
          <w:rFonts w:ascii="Arial" w:cs="Arial" w:eastAsia="Arial" w:hAnsi="Arial"/>
          <w:sz w:val="22"/>
          <w:szCs w:val="22"/>
          <w:color w:val="auto"/>
        </w:rPr>
        <w:t xml:space="preserve">. 2 </w:t>
      </w:r>
      <w:r>
        <w:rPr>
          <w:rFonts w:ascii="Arial" w:cs="Arial" w:eastAsia="Arial" w:hAnsi="Arial"/>
          <w:sz w:val="14"/>
          <w:szCs w:val="14"/>
          <w:color w:val="auto"/>
        </w:rPr>
        <w:t>TO</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309" w:name="page310"/>
    <w:bookmarkEnd w:id="309"/>
    <w:p>
      <w:pPr>
        <w:ind w:left="4740"/>
        <w:spacing w:after="0"/>
        <w:rPr>
          <w:sz w:val="20"/>
          <w:szCs w:val="20"/>
          <w:color w:val="auto"/>
        </w:rPr>
      </w:pPr>
      <w:r>
        <w:rPr>
          <w:rFonts w:ascii="Arial" w:cs="Arial" w:eastAsia="Arial" w:hAnsi="Arial"/>
          <w:sz w:val="17"/>
          <w:szCs w:val="17"/>
          <w:b w:val="1"/>
          <w:bCs w:val="1"/>
          <w:color w:val="auto"/>
        </w:rPr>
        <w:t>SYNOVUS BANK</w:t>
      </w:r>
      <w:r>
        <w:rPr>
          <w:rFonts w:ascii="Arial" w:cs="Arial" w:eastAsia="Arial" w:hAnsi="Arial"/>
          <w:sz w:val="17"/>
          <w:szCs w:val="17"/>
          <w:color w:val="auto"/>
        </w:rPr>
        <w:t>, as a New Lender</w:t>
      </w:r>
    </w:p>
    <w:p>
      <w:pPr>
        <w:spacing w:after="0" w:line="200" w:lineRule="exact"/>
        <w:rPr>
          <w:sz w:val="20"/>
          <w:szCs w:val="20"/>
          <w:color w:val="auto"/>
        </w:rPr>
      </w:pPr>
    </w:p>
    <w:p>
      <w:pPr>
        <w:spacing w:after="0" w:line="257"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Anita Aedo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Anita Aedo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 TO</w:t>
      </w:r>
      <w:r>
        <w:rPr>
          <w:rFonts w:ascii="Arial" w:cs="Arial" w:eastAsia="Arial" w:hAnsi="Arial"/>
          <w:sz w:val="17"/>
          <w:szCs w:val="17"/>
          <w:color w:val="auto"/>
        </w:rPr>
        <w:t xml:space="preserve"> A</w:t>
      </w:r>
      <w:r>
        <w:rPr>
          <w:rFonts w:ascii="Arial" w:cs="Arial" w:eastAsia="Arial" w:hAnsi="Arial"/>
          <w:sz w:val="11"/>
          <w:szCs w:val="11"/>
          <w:color w:val="auto"/>
        </w:rPr>
        <w:t>MENDMENT</w:t>
      </w:r>
      <w:r>
        <w:rPr>
          <w:rFonts w:ascii="Arial" w:cs="Arial" w:eastAsia="Arial" w:hAnsi="Arial"/>
          <w:sz w:val="17"/>
          <w:szCs w:val="17"/>
          <w:color w:val="auto"/>
        </w:rPr>
        <w:t xml:space="preserve"> N</w:t>
      </w:r>
      <w:r>
        <w:rPr>
          <w:rFonts w:ascii="Arial" w:cs="Arial" w:eastAsia="Arial" w:hAnsi="Arial"/>
          <w:sz w:val="11"/>
          <w:szCs w:val="11"/>
          <w:color w:val="auto"/>
        </w:rPr>
        <w:t>O</w:t>
      </w:r>
      <w:r>
        <w:rPr>
          <w:rFonts w:ascii="Arial" w:cs="Arial" w:eastAsia="Arial" w:hAnsi="Arial"/>
          <w:sz w:val="17"/>
          <w:szCs w:val="17"/>
          <w:color w:val="auto"/>
        </w:rPr>
        <w:t xml:space="preserve">. 2 </w:t>
      </w:r>
      <w:r>
        <w:rPr>
          <w:rFonts w:ascii="Arial" w:cs="Arial" w:eastAsia="Arial" w:hAnsi="Arial"/>
          <w:sz w:val="11"/>
          <w:szCs w:val="11"/>
          <w:color w:val="auto"/>
        </w:rPr>
        <w:t>TO</w:t>
      </w:r>
      <w:r>
        <w:rPr>
          <w:rFonts w:ascii="Arial" w:cs="Arial" w:eastAsia="Arial" w:hAnsi="Arial"/>
          <w:sz w:val="17"/>
          <w:szCs w:val="17"/>
          <w:color w:val="auto"/>
        </w:rPr>
        <w:t xml:space="preserve"> A</w:t>
      </w:r>
      <w:r>
        <w:rPr>
          <w:rFonts w:ascii="Arial" w:cs="Arial" w:eastAsia="Arial" w:hAnsi="Arial"/>
          <w:sz w:val="11"/>
          <w:szCs w:val="11"/>
          <w:color w:val="auto"/>
        </w:rPr>
        <w:t>MENDED AND</w:t>
      </w:r>
      <w:r>
        <w:rPr>
          <w:rFonts w:ascii="Arial" w:cs="Arial" w:eastAsia="Arial" w:hAnsi="Arial"/>
          <w:sz w:val="17"/>
          <w:szCs w:val="17"/>
          <w:color w:val="auto"/>
        </w:rPr>
        <w:t xml:space="preserve"> R</w:t>
      </w:r>
      <w:r>
        <w:rPr>
          <w:rFonts w:ascii="Arial" w:cs="Arial" w:eastAsia="Arial" w:hAnsi="Arial"/>
          <w:sz w:val="11"/>
          <w:szCs w:val="11"/>
          <w:color w:val="auto"/>
        </w:rPr>
        <w:t>ESTATED</w:t>
      </w:r>
      <w:r>
        <w:rPr>
          <w:rFonts w:ascii="Arial" w:cs="Arial" w:eastAsia="Arial" w:hAnsi="Arial"/>
          <w:sz w:val="17"/>
          <w:szCs w:val="17"/>
          <w:color w:val="auto"/>
        </w:rPr>
        <w:t xml:space="preserve"> C</w:t>
      </w:r>
      <w:r>
        <w:rPr>
          <w:rFonts w:ascii="Arial" w:cs="Arial" w:eastAsia="Arial" w:hAnsi="Arial"/>
          <w:sz w:val="11"/>
          <w:szCs w:val="11"/>
          <w:color w:val="auto"/>
        </w:rPr>
        <w:t>REDIT</w:t>
      </w:r>
      <w:r>
        <w:rPr>
          <w:rFonts w:ascii="Arial" w:cs="Arial" w:eastAsia="Arial" w:hAnsi="Arial"/>
          <w:sz w:val="17"/>
          <w:szCs w:val="17"/>
          <w:color w:val="auto"/>
        </w:rPr>
        <w:t xml:space="preserve"> A</w:t>
      </w:r>
      <w:r>
        <w:rPr>
          <w:rFonts w:ascii="Arial" w:cs="Arial" w:eastAsia="Arial" w:hAnsi="Arial"/>
          <w:sz w:val="11"/>
          <w:szCs w:val="11"/>
          <w:color w:val="auto"/>
        </w:rPr>
        <w:t>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310" w:name="page311"/>
    <w:bookmarkEnd w:id="310"/>
    <w:p>
      <w:pPr>
        <w:jc w:val="right"/>
        <w:spacing w:after="0"/>
        <w:rPr>
          <w:sz w:val="20"/>
          <w:szCs w:val="20"/>
          <w:color w:val="auto"/>
        </w:rPr>
      </w:pPr>
      <w:r>
        <w:rPr>
          <w:rFonts w:ascii="Arial" w:cs="Arial" w:eastAsia="Arial" w:hAnsi="Arial"/>
          <w:sz w:val="22"/>
          <w:szCs w:val="22"/>
          <w:b w:val="1"/>
          <w:bCs w:val="1"/>
          <w:color w:val="auto"/>
        </w:rPr>
        <w:t>Exhibit 21.1</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6780" w:type="dxa"/>
            <w:vAlign w:val="bottom"/>
            <w:gridSpan w:val="4"/>
          </w:tcPr>
          <w:p>
            <w:pPr>
              <w:ind w:left="420"/>
              <w:spacing w:after="0"/>
              <w:rPr>
                <w:sz w:val="20"/>
                <w:szCs w:val="20"/>
                <w:color w:val="auto"/>
              </w:rPr>
            </w:pPr>
            <w:r>
              <w:rPr>
                <w:rFonts w:ascii="Arial" w:cs="Arial" w:eastAsia="Arial" w:hAnsi="Arial"/>
                <w:sz w:val="18"/>
                <w:szCs w:val="18"/>
                <w:b w:val="1"/>
                <w:bCs w:val="1"/>
                <w:color w:val="auto"/>
              </w:rPr>
              <w:t>List of Subsidiaries</w:t>
            </w:r>
          </w:p>
        </w:tc>
      </w:tr>
      <w:tr>
        <w:trPr>
          <w:trHeight w:val="236"/>
        </w:trPr>
        <w:tc>
          <w:tcPr>
            <w:tcW w:w="4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p>
        </w:tc>
      </w:tr>
      <w:tr>
        <w:trPr>
          <w:trHeight w:val="210"/>
        </w:trPr>
        <w:tc>
          <w:tcPr>
            <w:tcW w:w="4460" w:type="dxa"/>
            <w:vAlign w:val="bottom"/>
            <w:tcBorders>
              <w:left w:val="single" w:sz="8" w:color="auto"/>
              <w:bottom w:val="single" w:sz="8" w:color="auto"/>
            </w:tcBorders>
            <w:shd w:val="clear" w:color="auto" w:fill="BFBFBF"/>
          </w:tcPr>
          <w:p>
            <w:pPr>
              <w:ind w:left="2500"/>
              <w:spacing w:after="0"/>
              <w:rPr>
                <w:sz w:val="20"/>
                <w:szCs w:val="20"/>
                <w:color w:val="auto"/>
              </w:rPr>
            </w:pPr>
            <w:r>
              <w:rPr>
                <w:rFonts w:ascii="Arial" w:cs="Arial" w:eastAsia="Arial" w:hAnsi="Arial"/>
                <w:sz w:val="18"/>
                <w:szCs w:val="18"/>
                <w:b w:val="1"/>
                <w:bCs w:val="1"/>
                <w:color w:val="auto"/>
              </w:rPr>
              <w:t>Name of Subsidiary</w:t>
            </w:r>
          </w:p>
        </w:tc>
        <w:tc>
          <w:tcPr>
            <w:tcW w:w="420" w:type="dxa"/>
            <w:vAlign w:val="bottom"/>
            <w:tcBorders>
              <w:bottom w:val="single" w:sz="8" w:color="auto"/>
            </w:tcBorders>
            <w:shd w:val="clear" w:color="auto" w:fill="BFBFBF"/>
          </w:tcPr>
          <w:p>
            <w:pPr>
              <w:spacing w:after="0"/>
              <w:rPr>
                <w:sz w:val="18"/>
                <w:szCs w:val="18"/>
                <w:color w:val="auto"/>
              </w:rPr>
            </w:pPr>
          </w:p>
        </w:tc>
        <w:tc>
          <w:tcPr>
            <w:tcW w:w="1480" w:type="dxa"/>
            <w:vAlign w:val="bottom"/>
            <w:tcBorders>
              <w:bottom w:val="single" w:sz="8" w:color="auto"/>
            </w:tcBorders>
            <w:shd w:val="clear" w:color="auto" w:fill="BFBFBF"/>
          </w:tcPr>
          <w:p>
            <w:pPr>
              <w:spacing w:after="0"/>
              <w:rPr>
                <w:sz w:val="18"/>
                <w:szCs w:val="18"/>
                <w:color w:val="auto"/>
              </w:rPr>
            </w:pPr>
          </w:p>
        </w:tc>
        <w:tc>
          <w:tcPr>
            <w:tcW w:w="180" w:type="dxa"/>
            <w:vAlign w:val="bottom"/>
            <w:tcBorders>
              <w:bottom w:val="single" w:sz="8" w:color="auto"/>
              <w:right w:val="single" w:sz="8" w:color="auto"/>
            </w:tcBorders>
            <w:shd w:val="clear" w:color="auto" w:fill="BFBFBF"/>
          </w:tcPr>
          <w:p>
            <w:pPr>
              <w:spacing w:after="0"/>
              <w:rPr>
                <w:sz w:val="18"/>
                <w:szCs w:val="18"/>
                <w:color w:val="auto"/>
              </w:rPr>
            </w:pPr>
          </w:p>
        </w:tc>
        <w:tc>
          <w:tcPr>
            <w:tcW w:w="4700" w:type="dxa"/>
            <w:vAlign w:val="bottom"/>
            <w:tcBorders>
              <w:bottom w:val="single" w:sz="8" w:color="auto"/>
              <w:right w:val="single" w:sz="8" w:color="auto"/>
            </w:tcBorders>
            <w:shd w:val="clear" w:color="auto" w:fill="BFBFBF"/>
          </w:tcPr>
          <w:p>
            <w:pPr>
              <w:ind w:left="1340"/>
              <w:spacing w:after="0"/>
              <w:rPr>
                <w:sz w:val="20"/>
                <w:szCs w:val="20"/>
                <w:color w:val="auto"/>
              </w:rPr>
            </w:pPr>
            <w:r>
              <w:rPr>
                <w:rFonts w:ascii="Arial" w:cs="Arial" w:eastAsia="Arial" w:hAnsi="Arial"/>
                <w:sz w:val="18"/>
                <w:szCs w:val="18"/>
                <w:b w:val="1"/>
                <w:bCs w:val="1"/>
                <w:color w:val="auto"/>
              </w:rPr>
              <w:t>Jurisdiction of Formation</w:t>
            </w:r>
          </w:p>
        </w:tc>
      </w:tr>
      <w:tr>
        <w:trPr>
          <w:trHeight w:val="209"/>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Corporation</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Monocle Parent, LLC</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Delaware</w:t>
            </w:r>
          </w:p>
        </w:tc>
      </w:tr>
      <w:tr>
        <w:trPr>
          <w:trHeight w:val="209"/>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Aviation, Inc.</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r>
      <w:tr>
        <w:trPr>
          <w:trHeight w:val="209"/>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AerSale, Inc.</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Component Solutions, Inc.</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New Mexico</w:t>
            </w:r>
          </w:p>
        </w:tc>
      </w:tr>
      <w:tr>
        <w:trPr>
          <w:trHeight w:val="209"/>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Avborne Accessory Group, Inc.</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Delaware</w:t>
            </w:r>
          </w:p>
        </w:tc>
      </w:tr>
      <w:tr>
        <w:trPr>
          <w:trHeight w:val="209"/>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Aircraft Composite Technologies, Inc.</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Florida</w:t>
            </w:r>
          </w:p>
        </w:tc>
      </w:tr>
      <w:tr>
        <w:trPr>
          <w:trHeight w:val="210"/>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Aircraft MSN 24125 Trust</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Utah Trust</w:t>
            </w:r>
          </w:p>
        </w:tc>
      </w:tr>
      <w:tr>
        <w:trPr>
          <w:trHeight w:val="209"/>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Aviation Limited</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Ireland</w:t>
            </w:r>
          </w:p>
        </w:tc>
      </w:tr>
      <w:tr>
        <w:trPr>
          <w:trHeight w:val="210"/>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AerSale 25362 Aviation Limited</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Ireland</w:t>
            </w:r>
          </w:p>
        </w:tc>
      </w:tr>
      <w:tr>
        <w:trPr>
          <w:trHeight w:val="209"/>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25430 Aviation Limited</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Ireland</w:t>
            </w:r>
          </w:p>
        </w:tc>
      </w:tr>
      <w:tr>
        <w:trPr>
          <w:trHeight w:val="209"/>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AerSale 27043 Aviation Limited</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Ireland</w:t>
            </w:r>
          </w:p>
        </w:tc>
      </w:tr>
      <w:tr>
        <w:trPr>
          <w:trHeight w:val="210"/>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27469 Aviation Limited</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Ireland</w:t>
            </w:r>
          </w:p>
        </w:tc>
      </w:tr>
      <w:tr>
        <w:trPr>
          <w:trHeight w:val="209"/>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AerSale 27910 Aviation Limited</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Ireland</w:t>
            </w:r>
          </w:p>
        </w:tc>
      </w:tr>
      <w:tr>
        <w:trPr>
          <w:trHeight w:val="209"/>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28149 Aviation Limited</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Ireland</w:t>
            </w:r>
          </w:p>
        </w:tc>
      </w:tr>
      <w:tr>
        <w:trPr>
          <w:trHeight w:val="210"/>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AerSale Ireland 1 Limited</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Ireland</w:t>
            </w:r>
          </w:p>
        </w:tc>
      </w:tr>
      <w:tr>
        <w:trPr>
          <w:trHeight w:val="209"/>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Gables MSN 26343 Limited</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Ireland</w:t>
            </w:r>
          </w:p>
        </w:tc>
      </w:tr>
      <w:tr>
        <w:trPr>
          <w:trHeight w:val="210"/>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Coral Gables 1 Limited</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Ireland</w:t>
            </w:r>
          </w:p>
        </w:tc>
      </w:tr>
      <w:tr>
        <w:trPr>
          <w:trHeight w:val="209"/>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Coral Gables 2 Limited</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Ireland</w:t>
            </w:r>
          </w:p>
        </w:tc>
      </w:tr>
      <w:tr>
        <w:trPr>
          <w:trHeight w:val="209"/>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AerSale Labuan 1 Limited</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Labuan (Malaysia)</w:t>
            </w:r>
          </w:p>
        </w:tc>
      </w:tr>
      <w:tr>
        <w:trPr>
          <w:trHeight w:val="210"/>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Qwest Air Parts, LLC</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Florida</w:t>
            </w:r>
          </w:p>
        </w:tc>
      </w:tr>
      <w:tr>
        <w:trPr>
          <w:trHeight w:val="209"/>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Q2 Aviation LLC</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Tennessee</w:t>
            </w:r>
          </w:p>
        </w:tc>
      </w:tr>
      <w:tr>
        <w:trPr>
          <w:trHeight w:val="210"/>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23440 LLC</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AerSale 23441 LLC</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23765 LLC</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r>
      <w:tr>
        <w:trPr>
          <w:trHeight w:val="209"/>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AerSale 24423 LLC</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25212 LLC</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AerSale 25260 LLC</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25313 LLC</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r>
      <w:tr>
        <w:trPr>
          <w:trHeight w:val="209"/>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AerSale 25314 LLC</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25417 LLC</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AerSale 26342 LLC</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26343 LLC</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r>
      <w:tr>
        <w:trPr>
          <w:trHeight w:val="209"/>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AerSale 26346 LLC</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27043 LLC</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AerSale 27469 LLC</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27910 LLC</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r>
      <w:tr>
        <w:trPr>
          <w:trHeight w:val="209"/>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AerSale 27094 LLC</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USA 1 LLC</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AerSale USA 2 LLC</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Delaware</w:t>
            </w:r>
          </w:p>
        </w:tc>
      </w:tr>
      <w:tr>
        <w:trPr>
          <w:trHeight w:val="210"/>
        </w:trPr>
        <w:tc>
          <w:tcPr>
            <w:tcW w:w="4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AerSale USA 2 Sub LLC</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47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r>
      <w:tr>
        <w:trPr>
          <w:trHeight w:val="668"/>
        </w:trPr>
        <w:tc>
          <w:tcPr>
            <w:tcW w:w="4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issued our report dated March 16, 2021, with respect to the consolidated financial statements included in the Annual Report of AerSale Corporation on Form 10-K for the year ended December 31, 2020. We consent to the incorporation by reference of said report in the Registration Statement of AerSale Corporation on Form S-8 (File No. 333-253424).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Nicolas Finazzo, certify that:</w:t>
      </w:r>
    </w:p>
    <w:p>
      <w:pPr>
        <w:spacing w:after="0" w:line="225" w:lineRule="exact"/>
        <w:rPr>
          <w:sz w:val="20"/>
          <w:szCs w:val="20"/>
          <w:color w:val="auto"/>
        </w:rPr>
      </w:pPr>
    </w:p>
    <w:p>
      <w:pPr>
        <w:ind w:left="340" w:hanging="332"/>
        <w:spacing w:after="0"/>
        <w:tabs>
          <w:tab w:leader="none" w:pos="3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AerSale Corporation;</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w:t>
      </w:r>
    </w:p>
    <w:p>
      <w:pPr>
        <w:spacing w:after="0" w:line="34" w:lineRule="exact"/>
        <w:rPr>
          <w:rFonts w:ascii="Arial" w:cs="Arial" w:eastAsia="Arial" w:hAnsi="Arial"/>
          <w:sz w:val="17"/>
          <w:szCs w:val="17"/>
          <w:color w:val="auto"/>
        </w:rPr>
      </w:pPr>
    </w:p>
    <w:p>
      <w:pPr>
        <w:ind w:left="340" w:right="260"/>
        <w:spacing w:after="0" w:line="260" w:lineRule="auto"/>
        <w:rPr>
          <w:rFonts w:ascii="Arial" w:cs="Arial" w:eastAsia="Arial" w:hAnsi="Arial"/>
          <w:sz w:val="17"/>
          <w:szCs w:val="17"/>
          <w:color w:val="auto"/>
        </w:rPr>
      </w:pPr>
      <w:r>
        <w:rPr>
          <w:rFonts w:ascii="Arial" w:cs="Arial" w:eastAsia="Arial" w:hAnsi="Arial"/>
          <w:sz w:val="18"/>
          <w:szCs w:val="18"/>
          <w:color w:val="auto"/>
        </w:rPr>
        <w:t>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7"/>
          <w:szCs w:val="17"/>
          <w:color w:val="auto"/>
        </w:rPr>
      </w:pPr>
    </w:p>
    <w:p>
      <w:pPr>
        <w:ind w:left="660" w:right="380" w:hanging="328"/>
        <w:spacing w:after="0" w:line="263" w:lineRule="auto"/>
        <w:tabs>
          <w:tab w:leader="none" w:pos="6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March 16, 2021</w:t>
            </w:r>
          </w:p>
        </w:tc>
        <w:tc>
          <w:tcPr>
            <w:tcW w:w="2340" w:type="dxa"/>
            <w:vAlign w:val="bottom"/>
          </w:tcPr>
          <w:p>
            <w:pPr>
              <w:ind w:left="202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Nicolas Finazzo</w:t>
            </w:r>
          </w:p>
        </w:tc>
      </w:tr>
      <w:tr>
        <w:trPr>
          <w:trHeight w:val="222"/>
        </w:trPr>
        <w:tc>
          <w:tcPr>
            <w:tcW w:w="36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Nicolas Finazzo</w:t>
            </w: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702"/>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Garmendia, certify that:</w:t>
      </w:r>
    </w:p>
    <w:p>
      <w:pPr>
        <w:spacing w:after="0" w:line="225" w:lineRule="exact"/>
        <w:rPr>
          <w:sz w:val="20"/>
          <w:szCs w:val="20"/>
          <w:color w:val="auto"/>
        </w:rPr>
      </w:pPr>
    </w:p>
    <w:p>
      <w:pPr>
        <w:ind w:left="340" w:hanging="332"/>
        <w:spacing w:after="0"/>
        <w:tabs>
          <w:tab w:leader="none" w:pos="3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AerSale Corporation;</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w:t>
      </w:r>
    </w:p>
    <w:p>
      <w:pPr>
        <w:spacing w:after="0" w:line="34" w:lineRule="exact"/>
        <w:rPr>
          <w:rFonts w:ascii="Arial" w:cs="Arial" w:eastAsia="Arial" w:hAnsi="Arial"/>
          <w:sz w:val="17"/>
          <w:szCs w:val="17"/>
          <w:color w:val="auto"/>
        </w:rPr>
      </w:pPr>
    </w:p>
    <w:p>
      <w:pPr>
        <w:ind w:left="340" w:right="260"/>
        <w:spacing w:after="0" w:line="260" w:lineRule="auto"/>
        <w:rPr>
          <w:rFonts w:ascii="Arial" w:cs="Arial" w:eastAsia="Arial" w:hAnsi="Arial"/>
          <w:sz w:val="17"/>
          <w:szCs w:val="17"/>
          <w:color w:val="auto"/>
        </w:rPr>
      </w:pPr>
      <w:r>
        <w:rPr>
          <w:rFonts w:ascii="Arial" w:cs="Arial" w:eastAsia="Arial" w:hAnsi="Arial"/>
          <w:sz w:val="18"/>
          <w:szCs w:val="18"/>
          <w:color w:val="auto"/>
        </w:rPr>
        <w:t>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7"/>
          <w:szCs w:val="17"/>
          <w:color w:val="auto"/>
        </w:rPr>
      </w:pPr>
    </w:p>
    <w:p>
      <w:pPr>
        <w:ind w:left="660" w:right="380" w:hanging="328"/>
        <w:spacing w:after="0" w:line="263" w:lineRule="auto"/>
        <w:tabs>
          <w:tab w:leader="none" w:pos="6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March 16, 2021</w:t>
            </w:r>
          </w:p>
        </w:tc>
        <w:tc>
          <w:tcPr>
            <w:tcW w:w="2340" w:type="dxa"/>
            <w:vAlign w:val="bottom"/>
          </w:tcPr>
          <w:p>
            <w:pPr>
              <w:ind w:left="202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Martin Garmendia</w:t>
            </w:r>
          </w:p>
        </w:tc>
      </w:tr>
      <w:tr>
        <w:trPr>
          <w:trHeight w:val="222"/>
        </w:trPr>
        <w:tc>
          <w:tcPr>
            <w:tcW w:w="36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80" w:type="dxa"/>
            <w:vAlign w:val="bottom"/>
          </w:tcPr>
          <w:p>
            <w:pPr>
              <w:ind w:left="1980"/>
              <w:spacing w:after="0"/>
              <w:rPr>
                <w:sz w:val="20"/>
                <w:szCs w:val="20"/>
                <w:color w:val="auto"/>
              </w:rPr>
            </w:pPr>
            <w:r>
              <w:rPr>
                <w:rFonts w:ascii="Arial" w:cs="Arial" w:eastAsia="Arial" w:hAnsi="Arial"/>
                <w:sz w:val="18"/>
                <w:szCs w:val="18"/>
                <w:color w:val="auto"/>
              </w:rPr>
              <w:t>Martin Garmendia</w:t>
            </w: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702"/>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In connection with the Annual Report on Form 10-K of AerSale Corporation (the “Company”) for the period ended December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March 16, 2021</w:t>
            </w:r>
          </w:p>
        </w:tc>
        <w:tc>
          <w:tcPr>
            <w:tcW w:w="2340" w:type="dxa"/>
            <w:vAlign w:val="bottom"/>
          </w:tcPr>
          <w:p>
            <w:pPr>
              <w:ind w:left="202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Nicolas Finazzo</w:t>
            </w:r>
          </w:p>
        </w:tc>
      </w:tr>
      <w:tr>
        <w:trPr>
          <w:trHeight w:val="222"/>
        </w:trPr>
        <w:tc>
          <w:tcPr>
            <w:tcW w:w="36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Nicolas Finazzo</w:t>
            </w: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702"/>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In connection with the Annual Report on Form 10-K of AerSale Corporation (the “Company”) for the period ended December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March 16, 2021</w:t>
            </w:r>
          </w:p>
        </w:tc>
        <w:tc>
          <w:tcPr>
            <w:tcW w:w="2340" w:type="dxa"/>
            <w:vAlign w:val="bottom"/>
          </w:tcPr>
          <w:p>
            <w:pPr>
              <w:ind w:left="202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Martin Garmendia</w:t>
            </w:r>
          </w:p>
        </w:tc>
      </w:tr>
      <w:tr>
        <w:trPr>
          <w:trHeight w:val="222"/>
        </w:trPr>
        <w:tc>
          <w:tcPr>
            <w:tcW w:w="36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80" w:type="dxa"/>
            <w:vAlign w:val="bottom"/>
          </w:tcPr>
          <w:p>
            <w:pPr>
              <w:ind w:left="1980"/>
              <w:spacing w:after="0"/>
              <w:rPr>
                <w:sz w:val="20"/>
                <w:szCs w:val="20"/>
                <w:color w:val="auto"/>
              </w:rPr>
            </w:pPr>
            <w:r>
              <w:rPr>
                <w:rFonts w:ascii="Arial" w:cs="Arial" w:eastAsia="Arial" w:hAnsi="Arial"/>
                <w:sz w:val="18"/>
                <w:szCs w:val="18"/>
                <w:color w:val="auto"/>
              </w:rPr>
              <w:t>Martin Garmendia</w:t>
            </w: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r>
        <w:trPr>
          <w:trHeight w:val="702"/>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D86AAC"/>
    <w:multiLevelType w:val="hybridMultilevel"/>
    <w:lvl w:ilvl="0">
      <w:lvlJc w:val="left"/>
      <w:lvlText w:val="☒"/>
      <w:numFmt w:val="bullet"/>
      <w:start w:val="1"/>
    </w:lvl>
  </w:abstractNum>
  <w:abstractNum w:abstractNumId="1">
    <w:nsid w:val="45E6D486"/>
    <w:multiLevelType w:val="hybridMultilevel"/>
    <w:lvl w:ilvl="0">
      <w:lvlJc w:val="left"/>
      <w:lvlText w:val="☐"/>
      <w:numFmt w:val="bullet"/>
      <w:start w:val="1"/>
    </w:lvl>
  </w:abstractNum>
  <w:abstractNum w:abstractNumId="2">
    <w:nsid w:val="5C10FE21"/>
    <w:multiLevelType w:val="hybridMultilevel"/>
    <w:lvl w:ilvl="0">
      <w:lvlJc w:val="left"/>
      <w:lvlText w:val="·"/>
      <w:numFmt w:val="bullet"/>
      <w:start w:val="1"/>
    </w:lvl>
  </w:abstractNum>
  <w:abstractNum w:abstractNumId="3">
    <w:nsid w:val="E7FFA2B"/>
    <w:multiLevelType w:val="hybridMultilevel"/>
    <w:lvl w:ilvl="0">
      <w:lvlJc w:val="left"/>
      <w:lvlText w:val="•"/>
      <w:numFmt w:val="bullet"/>
      <w:start w:val="1"/>
    </w:lvl>
  </w:abstractNum>
  <w:abstractNum w:abstractNumId="4">
    <w:nsid w:val="3C5991AA"/>
    <w:multiLevelType w:val="hybridMultilevel"/>
    <w:lvl w:ilvl="0">
      <w:lvlJc w:val="left"/>
      <w:lvlText w:val="•"/>
      <w:numFmt w:val="bullet"/>
      <w:start w:val="1"/>
    </w:lvl>
  </w:abstractNum>
  <w:abstractNum w:abstractNumId="5">
    <w:nsid w:val="4BD8591A"/>
    <w:multiLevelType w:val="hybridMultilevel"/>
    <w:lvl w:ilvl="0">
      <w:lvlJc w:val="left"/>
      <w:lvlText w:val="•"/>
      <w:numFmt w:val="bullet"/>
      <w:start w:val="1"/>
    </w:lvl>
  </w:abstractNum>
  <w:abstractNum w:abstractNumId="6">
    <w:nsid w:val="78DF6A55"/>
    <w:multiLevelType w:val="hybridMultilevel"/>
    <w:lvl w:ilvl="0">
      <w:lvlJc w:val="left"/>
      <w:lvlText w:val="•"/>
      <w:numFmt w:val="bullet"/>
      <w:start w:val="1"/>
    </w:lvl>
  </w:abstractNum>
  <w:abstractNum w:abstractNumId="7">
    <w:nsid w:val="39B7AAA2"/>
    <w:multiLevelType w:val="hybridMultilevel"/>
    <w:lvl w:ilvl="0">
      <w:lvlJc w:val="left"/>
      <w:lvlText w:val="•"/>
      <w:numFmt w:val="bullet"/>
      <w:start w:val="1"/>
    </w:lvl>
  </w:abstractNum>
  <w:abstractNum w:abstractNumId="8">
    <w:nsid w:val="2B0D8DBE"/>
    <w:multiLevelType w:val="hybridMultilevel"/>
    <w:lvl w:ilvl="0">
      <w:lvlJc w:val="left"/>
      <w:lvlText w:val="•"/>
      <w:numFmt w:val="bullet"/>
      <w:start w:val="1"/>
    </w:lvl>
  </w:abstractNum>
  <w:abstractNum w:abstractNumId="9">
    <w:nsid w:val="6C80EC70"/>
    <w:multiLevelType w:val="hybridMultilevel"/>
    <w:lvl w:ilvl="0">
      <w:lvlJc w:val="left"/>
      <w:lvlText w:val="•"/>
      <w:numFmt w:val="bullet"/>
      <w:start w:val="1"/>
    </w:lvl>
  </w:abstractNum>
  <w:abstractNum w:abstractNumId="10">
    <w:nsid w:val="379E21B5"/>
    <w:multiLevelType w:val="hybridMultilevel"/>
    <w:lvl w:ilvl="0">
      <w:lvlJc w:val="left"/>
      <w:lvlText w:val="•"/>
      <w:numFmt w:val="bullet"/>
      <w:start w:val="1"/>
    </w:lvl>
  </w:abstractNum>
  <w:abstractNum w:abstractNumId="11">
    <w:nsid w:val="69E373"/>
    <w:multiLevelType w:val="hybridMultilevel"/>
    <w:lvl w:ilvl="0">
      <w:lvlJc w:val="left"/>
      <w:lvlText w:val="·"/>
      <w:numFmt w:val="bullet"/>
      <w:start w:val="1"/>
    </w:lvl>
  </w:abstractNum>
  <w:abstractNum w:abstractNumId="12">
    <w:nsid w:val="2C27173B"/>
    <w:multiLevelType w:val="hybridMultilevel"/>
    <w:lvl w:ilvl="0">
      <w:lvlJc w:val="left"/>
      <w:lvlText w:val="·"/>
      <w:numFmt w:val="bullet"/>
      <w:start w:val="1"/>
    </w:lvl>
  </w:abstractNum>
  <w:abstractNum w:abstractNumId="13">
    <w:nsid w:val="4C9B0904"/>
    <w:multiLevelType w:val="hybridMultilevel"/>
    <w:lvl w:ilvl="0">
      <w:lvlJc w:val="left"/>
      <w:lvlText w:val="·"/>
      <w:numFmt w:val="bullet"/>
      <w:start w:val="1"/>
    </w:lvl>
  </w:abstractNum>
  <w:abstractNum w:abstractNumId="14">
    <w:nsid w:val="6AA7B75C"/>
    <w:multiLevelType w:val="hybridMultilevel"/>
    <w:lvl w:ilvl="0">
      <w:lvlJc w:val="left"/>
      <w:lvlText w:val="•"/>
      <w:numFmt w:val="bullet"/>
      <w:start w:val="1"/>
    </w:lvl>
  </w:abstractNum>
  <w:abstractNum w:abstractNumId="15">
    <w:nsid w:val="1DF029D3"/>
    <w:multiLevelType w:val="hybridMultilevel"/>
    <w:lvl w:ilvl="0">
      <w:lvlJc w:val="left"/>
      <w:lvlText w:val="•"/>
      <w:numFmt w:val="bullet"/>
      <w:start w:val="1"/>
    </w:lvl>
  </w:abstractNum>
  <w:abstractNum w:abstractNumId="16">
    <w:nsid w:val="5675FF36"/>
    <w:multiLevelType w:val="hybridMultilevel"/>
    <w:lvl w:ilvl="0">
      <w:lvlJc w:val="left"/>
      <w:lvlText w:val="(%1)"/>
      <w:numFmt w:val="decimal"/>
      <w:start w:val="1"/>
    </w:lvl>
  </w:abstractNum>
  <w:abstractNum w:abstractNumId="17">
    <w:nsid w:val="3DD15094"/>
    <w:multiLevelType w:val="hybridMultilevel"/>
    <w:lvl w:ilvl="0">
      <w:lvlJc w:val="left"/>
      <w:lvlText w:val="*"/>
      <w:numFmt w:val="bullet"/>
      <w:start w:val="1"/>
    </w:lvl>
  </w:abstractNum>
  <w:abstractNum w:abstractNumId="18">
    <w:nsid w:val="3DB012B3"/>
    <w:multiLevelType w:val="hybridMultilevel"/>
    <w:lvl w:ilvl="0">
      <w:lvlJc w:val="left"/>
      <w:lvlText w:val="#"/>
      <w:numFmt w:val="bullet"/>
      <w:start w:val="1"/>
    </w:lvl>
  </w:abstractNum>
  <w:abstractNum w:abstractNumId="19">
    <w:nsid w:val="2708C9AF"/>
    <w:multiLevelType w:val="hybridMultilevel"/>
    <w:lvl w:ilvl="0">
      <w:lvlJc w:val="left"/>
      <w:lvlText w:val="•"/>
      <w:numFmt w:val="bullet"/>
      <w:start w:val="1"/>
    </w:lvl>
  </w:abstractNum>
  <w:abstractNum w:abstractNumId="20">
    <w:nsid w:val="5B25ACE2"/>
    <w:multiLevelType w:val="hybridMultilevel"/>
    <w:lvl w:ilvl="0">
      <w:lvlJc w:val="left"/>
      <w:lvlText w:val="§"/>
      <w:numFmt w:val="bullet"/>
      <w:start w:val="1"/>
    </w:lvl>
  </w:abstractNum>
  <w:abstractNum w:abstractNumId="21">
    <w:nsid w:val="175DFCF0"/>
    <w:multiLevelType w:val="hybridMultilevel"/>
    <w:lvl w:ilvl="0">
      <w:lvlJc w:val="left"/>
      <w:lvlText w:val="§"/>
      <w:numFmt w:val="bullet"/>
      <w:start w:val="1"/>
    </w:lvl>
  </w:abstractNum>
  <w:abstractNum w:abstractNumId="22">
    <w:nsid w:val="4F97E3E4"/>
    <w:multiLevelType w:val="hybridMultilevel"/>
    <w:lvl w:ilvl="0">
      <w:lvlJc w:val="left"/>
      <w:lvlText w:val="§"/>
      <w:numFmt w:val="bullet"/>
      <w:start w:val="1"/>
    </w:lvl>
  </w:abstractNum>
  <w:abstractNum w:abstractNumId="23">
    <w:nsid w:val="53B0A9E"/>
    <w:multiLevelType w:val="hybridMultilevel"/>
    <w:lvl w:ilvl="0">
      <w:lvlJc w:val="left"/>
      <w:lvlText w:val="§"/>
      <w:numFmt w:val="bullet"/>
      <w:start w:val="1"/>
    </w:lvl>
  </w:abstractNum>
  <w:abstractNum w:abstractNumId="24">
    <w:nsid w:val="34FD6B4F"/>
    <w:multiLevelType w:val="hybridMultilevel"/>
    <w:lvl w:ilvl="0">
      <w:lvlJc w:val="left"/>
      <w:lvlText w:val="§"/>
      <w:numFmt w:val="bullet"/>
      <w:start w:val="1"/>
    </w:lvl>
  </w:abstractNum>
  <w:abstractNum w:abstractNumId="25">
    <w:nsid w:val="5915FF32"/>
    <w:multiLevelType w:val="hybridMultilevel"/>
    <w:lvl w:ilvl="0">
      <w:lvlJc w:val="left"/>
      <w:lvlText w:val="§"/>
      <w:numFmt w:val="bullet"/>
      <w:start w:val="1"/>
    </w:lvl>
  </w:abstractNum>
  <w:abstractNum w:abstractNumId="26">
    <w:nsid w:val="56438D15"/>
    <w:multiLevelType w:val="hybridMultilevel"/>
    <w:lvl w:ilvl="0">
      <w:lvlJc w:val="left"/>
      <w:lvlText w:val="§"/>
      <w:numFmt w:val="bullet"/>
      <w:start w:val="1"/>
    </w:lvl>
  </w:abstractNum>
  <w:abstractNum w:abstractNumId="27">
    <w:nsid w:val="519E3149"/>
    <w:multiLevelType w:val="hybridMultilevel"/>
    <w:lvl w:ilvl="0">
      <w:lvlJc w:val="left"/>
      <w:lvlText w:val="§"/>
      <w:numFmt w:val="bullet"/>
      <w:start w:val="1"/>
    </w:lvl>
  </w:abstractNum>
  <w:abstractNum w:abstractNumId="28">
    <w:nsid w:val="2C6E4AFD"/>
    <w:multiLevelType w:val="hybridMultilevel"/>
    <w:lvl w:ilvl="0">
      <w:lvlJc w:val="left"/>
      <w:lvlText w:val="§"/>
      <w:numFmt w:val="bullet"/>
      <w:start w:val="1"/>
    </w:lvl>
  </w:abstractNum>
  <w:abstractNum w:abstractNumId="29">
    <w:nsid w:val="17A1B582"/>
    <w:multiLevelType w:val="hybridMultilevel"/>
    <w:lvl w:ilvl="0">
      <w:lvlJc w:val="left"/>
      <w:lvlText w:val="§"/>
      <w:numFmt w:val="bullet"/>
      <w:start w:val="1"/>
    </w:lvl>
  </w:abstractNum>
  <w:abstractNum w:abstractNumId="30">
    <w:nsid w:val="4DF72E4E"/>
    <w:multiLevelType w:val="hybridMultilevel"/>
    <w:lvl w:ilvl="0">
      <w:lvlJc w:val="left"/>
      <w:lvlText w:val="§"/>
      <w:numFmt w:val="bullet"/>
      <w:start w:val="1"/>
    </w:lvl>
  </w:abstractNum>
  <w:abstractNum w:abstractNumId="31">
    <w:nsid w:val="5046B5A9"/>
    <w:multiLevelType w:val="hybridMultilevel"/>
    <w:lvl w:ilvl="0">
      <w:lvlJc w:val="left"/>
      <w:lvlText w:val="%1."/>
      <w:numFmt w:val="decimal"/>
      <w:start w:val="1"/>
    </w:lvl>
  </w:abstractNum>
  <w:abstractNum w:abstractNumId="32">
    <w:nsid w:val="5D888A08"/>
    <w:multiLevelType w:val="hybridMultilevel"/>
    <w:lvl w:ilvl="0">
      <w:lvlJc w:val="left"/>
      <w:lvlText w:val="(%1)"/>
      <w:numFmt w:val="lowerLetter"/>
      <w:start w:val="1"/>
    </w:lvl>
    <w:lvl w:ilvl="1">
      <w:lvlJc w:val="left"/>
      <w:lvlText w:val="(%2)"/>
      <w:numFmt w:val="lowerRoman"/>
      <w:start w:val="1"/>
    </w:lvl>
  </w:abstractNum>
  <w:abstractNum w:abstractNumId="33">
    <w:nsid w:val="2A082C70"/>
    <w:multiLevelType w:val="hybridMultilevel"/>
    <w:lvl w:ilvl="0">
      <w:lvlJc w:val="left"/>
      <w:lvlText w:val="(%1)"/>
      <w:numFmt w:val="lowerLetter"/>
      <w:start w:val="4"/>
    </w:lvl>
    <w:lvl w:ilvl="1">
      <w:lvlJc w:val="left"/>
      <w:lvlText w:val="(%2)"/>
      <w:numFmt w:val="lowerRoman"/>
      <w:start w:val="1"/>
    </w:lvl>
  </w:abstractNum>
  <w:abstractNum w:abstractNumId="34">
    <w:nsid w:val="5EC6AFD4"/>
    <w:multiLevelType w:val="hybridMultilevel"/>
    <w:lvl w:ilvl="0">
      <w:lvlJc w:val="left"/>
      <w:lvlText w:val="(%1)"/>
      <w:numFmt w:val="lowerLetter"/>
      <w:start w:val="1"/>
    </w:lvl>
  </w:abstractNum>
  <w:abstractNum w:abstractNumId="35">
    <w:nsid w:val="19E21BB2"/>
    <w:multiLevelType w:val="hybridMultilevel"/>
    <w:lvl w:ilvl="0">
      <w:lvlJc w:val="left"/>
      <w:lvlText w:val="(%1)"/>
      <w:numFmt w:val="lowerLetter"/>
      <w:start w:val="3"/>
    </w:lvl>
  </w:abstractNum>
  <w:abstractNum w:abstractNumId="36">
    <w:nsid w:val="75E0858A"/>
    <w:multiLevelType w:val="hybridMultilevel"/>
    <w:lvl w:ilvl="0">
      <w:lvlJc w:val="left"/>
      <w:lvlText w:val="(%1)"/>
      <w:numFmt w:val="lowerLetter"/>
      <w:start w:val="1"/>
    </w:lvl>
    <w:lvl w:ilvl="1">
      <w:lvlJc w:val="left"/>
      <w:lvlText w:val="(%2)"/>
      <w:numFmt w:val="lowerRoman"/>
      <w:start w:val="1"/>
    </w:lvl>
  </w:abstractNum>
  <w:abstractNum w:abstractNumId="37">
    <w:nsid w:val="57A61A29"/>
    <w:multiLevelType w:val="hybridMultilevel"/>
    <w:lvl w:ilvl="0">
      <w:lvlJc w:val="left"/>
      <w:lvlText w:val="%1"/>
      <w:numFmt w:val="lowerRoman"/>
      <w:start w:val="1"/>
    </w:lvl>
    <w:lvl w:ilvl="1">
      <w:lvlJc w:val="left"/>
      <w:lvlText w:val="(%2)"/>
      <w:numFmt w:val="lowerRoman"/>
      <w:start w:val="5"/>
    </w:lvl>
  </w:abstractNum>
  <w:abstractNum w:abstractNumId="38">
    <w:nsid w:val="5399C654"/>
    <w:multiLevelType w:val="hybridMultilevel"/>
    <w:lvl w:ilvl="0">
      <w:lvlJc w:val="left"/>
      <w:lvlText w:val="(%1)"/>
      <w:numFmt w:val="lowerRoman"/>
      <w:start w:val="6"/>
    </w:lvl>
    <w:lvl w:ilvl="1">
      <w:lvlJc w:val="left"/>
      <w:lvlText w:val="(%2)"/>
      <w:numFmt w:val="lowerRoman"/>
      <w:start w:val="7"/>
    </w:lvl>
  </w:abstractNum>
  <w:abstractNum w:abstractNumId="39">
    <w:nsid w:val="20EE1348"/>
    <w:multiLevelType w:val="hybridMultilevel"/>
    <w:lvl w:ilvl="0">
      <w:lvlJc w:val="left"/>
      <w:lvlText w:val="(%1)"/>
      <w:numFmt w:val="lowerRoman"/>
      <w:start w:val="11"/>
    </w:lvl>
    <w:lvl w:ilvl="1">
      <w:lvlJc w:val="left"/>
      <w:lvlText w:val="(%2)"/>
      <w:numFmt w:val="lowerRoman"/>
      <w:start w:val="12"/>
    </w:lvl>
  </w:abstractNum>
  <w:abstractNum w:abstractNumId="40">
    <w:nsid w:val="4427069A"/>
    <w:multiLevelType w:val="hybridMultilevel"/>
    <w:lvl w:ilvl="0">
      <w:lvlJc w:val="left"/>
      <w:lvlText w:val="(%1)"/>
      <w:numFmt w:val="lowerLetter"/>
      <w:start w:val="1"/>
    </w:lvl>
  </w:abstractNum>
  <w:abstractNum w:abstractNumId="41">
    <w:nsid w:val="B37E80A"/>
    <w:multiLevelType w:val="hybridMultilevel"/>
    <w:lvl w:ilvl="0">
      <w:lvlJc w:val="left"/>
      <w:lvlText w:val="(%1)"/>
      <w:numFmt w:val="lowerLetter"/>
      <w:start w:val="1"/>
    </w:lvl>
  </w:abstractNum>
  <w:abstractNum w:abstractNumId="42">
    <w:nsid w:val="2157F6BC"/>
    <w:multiLevelType w:val="hybridMultilevel"/>
    <w:lvl w:ilvl="0">
      <w:lvlJc w:val="left"/>
      <w:lvlText w:val="(%1)"/>
      <w:numFmt w:val="lowerLetter"/>
      <w:start w:val="3"/>
    </w:lvl>
  </w:abstractNum>
  <w:abstractNum w:abstractNumId="43">
    <w:nsid w:val="704E1DD5"/>
    <w:multiLevelType w:val="hybridMultilevel"/>
    <w:lvl w:ilvl="0">
      <w:lvlJc w:val="left"/>
      <w:lvlText w:val="(%1)"/>
      <w:numFmt w:val="lowerLetter"/>
      <w:start w:val="14"/>
    </w:lvl>
  </w:abstractNum>
  <w:abstractNum w:abstractNumId="44">
    <w:nsid w:val="57D2F10E"/>
    <w:multiLevelType w:val="hybridMultilevel"/>
    <w:lvl w:ilvl="0">
      <w:lvlJc w:val="left"/>
      <w:lvlText w:val="(%1)"/>
      <w:numFmt w:val="lowerLetter"/>
      <w:start w:val="1"/>
    </w:lvl>
  </w:abstractNum>
  <w:abstractNum w:abstractNumId="45">
    <w:nsid w:val="BFFAE18"/>
    <w:multiLevelType w:val="hybridMultilevel"/>
    <w:lvl w:ilvl="0">
      <w:lvlJc w:val="left"/>
      <w:lvlText w:val="(%1)"/>
      <w:numFmt w:val="lowerLetter"/>
      <w:start w:val="6"/>
    </w:lvl>
  </w:abstractNum>
  <w:abstractNum w:abstractNumId="46">
    <w:nsid w:val="E3E47A8"/>
    <w:multiLevelType w:val="hybridMultilevel"/>
    <w:lvl w:ilvl="0">
      <w:lvlJc w:val="left"/>
      <w:lvlText w:val="(%1)"/>
      <w:numFmt w:val="lowerLetter"/>
      <w:start w:val="1"/>
    </w:lvl>
  </w:abstractNum>
  <w:abstractNum w:abstractNumId="47">
    <w:nsid w:val="2E48F044"/>
    <w:multiLevelType w:val="hybridMultilevel"/>
    <w:lvl w:ilvl="0">
      <w:lvlJc w:val="left"/>
      <w:lvlText w:val="(%1)"/>
      <w:numFmt w:val="lowerLetter"/>
      <w:start w:val="3"/>
    </w:lvl>
  </w:abstractNum>
  <w:abstractNum w:abstractNumId="48">
    <w:nsid w:val="49D0FEAC"/>
    <w:multiLevelType w:val="hybridMultilevel"/>
    <w:lvl w:ilvl="0">
      <w:lvlJc w:val="left"/>
      <w:lvlText w:val="(%1)"/>
      <w:numFmt w:val="lowerLetter"/>
      <w:start w:val="4"/>
    </w:lvl>
  </w:abstractNum>
  <w:abstractNum w:abstractNumId="49">
    <w:nsid w:val="4BEE5A5B"/>
    <w:multiLevelType w:val="hybridMultilevel"/>
    <w:lvl w:ilvl="0">
      <w:lvlJc w:val="left"/>
      <w:lvlText w:val="(%1)"/>
      <w:numFmt w:val="lowerLetter"/>
      <w:start w:val="1"/>
    </w:lvl>
  </w:abstractNum>
  <w:abstractNum w:abstractNumId="50">
    <w:nsid w:val="5551B9F3"/>
    <w:multiLevelType w:val="hybridMultilevel"/>
    <w:lvl w:ilvl="0">
      <w:lvlJc w:val="left"/>
      <w:lvlText w:val="(%1)"/>
      <w:numFmt w:val="lowerLetter"/>
      <w:start w:val="3"/>
    </w:lvl>
  </w:abstractNum>
  <w:abstractNum w:abstractNumId="51">
    <w:nsid w:val="24F6AB8E"/>
    <w:multiLevelType w:val="hybridMultilevel"/>
    <w:lvl w:ilvl="0">
      <w:lvlJc w:val="left"/>
      <w:lvlText w:val="(%1)"/>
      <w:numFmt w:val="lowerLetter"/>
      <w:start w:val="1"/>
    </w:lvl>
    <w:lvl w:ilvl="1">
      <w:lvlJc w:val="left"/>
      <w:lvlText w:val="(%2)"/>
      <w:numFmt w:val="lowerRoman"/>
      <w:start w:val="1"/>
    </w:lvl>
  </w:abstractNum>
  <w:abstractNum w:abstractNumId="52">
    <w:nsid w:val="634C574C"/>
    <w:multiLevelType w:val="hybridMultilevel"/>
    <w:lvl w:ilvl="0">
      <w:lvlJc w:val="left"/>
      <w:lvlText w:val="(%1)"/>
      <w:numFmt w:val="lowerLetter"/>
      <w:start w:val="3"/>
    </w:lvl>
  </w:abstractNum>
  <w:abstractNum w:abstractNumId="53">
    <w:nsid w:val="24E99DD7"/>
    <w:multiLevelType w:val="hybridMultilevel"/>
    <w:lvl w:ilvl="0">
      <w:lvlJc w:val="left"/>
      <w:lvlText w:val="(%1)"/>
      <w:numFmt w:val="lowerLetter"/>
      <w:start w:val="1"/>
    </w:lvl>
  </w:abstractNum>
  <w:abstractNum w:abstractNumId="54">
    <w:nsid w:val="2A31B62D"/>
    <w:multiLevelType w:val="hybridMultilevel"/>
    <w:lvl w:ilvl="0">
      <w:lvlJc w:val="left"/>
      <w:lvlText w:val="(%1)"/>
      <w:numFmt w:val="lowerLetter"/>
      <w:start w:val="1"/>
    </w:lvl>
  </w:abstractNum>
  <w:abstractNum w:abstractNumId="55">
    <w:nsid w:val="1849C29B"/>
    <w:multiLevelType w:val="hybridMultilevel"/>
    <w:lvl w:ilvl="0">
      <w:lvlJc w:val="left"/>
      <w:lvlText w:val="(%1)"/>
      <w:numFmt w:val="lowerLetter"/>
      <w:start w:val="8"/>
    </w:lvl>
  </w:abstractNum>
  <w:abstractNum w:abstractNumId="56">
    <w:nsid w:val="7DFF9D09"/>
    <w:multiLevelType w:val="hybridMultilevel"/>
    <w:lvl w:ilvl="0">
      <w:lvlJc w:val="left"/>
      <w:lvlText w:val="(%1)"/>
      <w:numFmt w:val="lowerLetter"/>
      <w:start w:val="1"/>
    </w:lvl>
  </w:abstractNum>
  <w:abstractNum w:abstractNumId="57">
    <w:nsid w:val="754342"/>
    <w:multiLevelType w:val="hybridMultilevel"/>
    <w:lvl w:ilvl="0">
      <w:lvlJc w:val="left"/>
      <w:lvlText w:val="(%1)"/>
      <w:numFmt w:val="lowerLetter"/>
      <w:start w:val="8"/>
    </w:lvl>
  </w:abstractNum>
  <w:abstractNum w:abstractNumId="58">
    <w:nsid w:val="69E7F3E5"/>
    <w:multiLevelType w:val="hybridMultilevel"/>
    <w:lvl w:ilvl="0">
      <w:lvlJc w:val="left"/>
      <w:lvlText w:val="(%1)"/>
      <w:numFmt w:val="lowerLetter"/>
      <w:start w:val="1"/>
    </w:lvl>
  </w:abstractNum>
  <w:abstractNum w:abstractNumId="59">
    <w:nsid w:val="2A6DE806"/>
    <w:multiLevelType w:val="hybridMultilevel"/>
    <w:lvl w:ilvl="0">
      <w:lvlJc w:val="left"/>
      <w:lvlText w:val="(%1)"/>
      <w:numFmt w:val="lowerLetter"/>
      <w:start w:val="13"/>
    </w:lvl>
  </w:abstractNum>
  <w:abstractNum w:abstractNumId="60">
    <w:nsid w:val="1816F8C4"/>
    <w:multiLevelType w:val="hybridMultilevel"/>
    <w:lvl w:ilvl="0">
      <w:lvlJc w:val="left"/>
      <w:lvlText w:val="(%1)"/>
      <w:numFmt w:val="lowerLetter"/>
      <w:start w:val="1"/>
    </w:lvl>
  </w:abstractNum>
  <w:abstractNum w:abstractNumId="61">
    <w:nsid w:val="37DF2233"/>
    <w:multiLevelType w:val="hybridMultilevel"/>
    <w:lvl w:ilvl="0">
      <w:lvlJc w:val="left"/>
      <w:lvlText w:val="(%1)"/>
      <w:numFmt w:val="lowerLetter"/>
      <w:start w:val="2"/>
    </w:lvl>
  </w:abstractNum>
  <w:abstractNum w:abstractNumId="62">
    <w:nsid w:val="7AB49DAF"/>
    <w:multiLevelType w:val="hybridMultilevel"/>
    <w:lvl w:ilvl="0">
      <w:lvlJc w:val="left"/>
      <w:lvlText w:val="(%1)"/>
      <w:numFmt w:val="lowerLetter"/>
      <w:start w:val="1"/>
    </w:lvl>
  </w:abstractNum>
  <w:abstractNum w:abstractNumId="63">
    <w:nsid w:val="759F82CD"/>
    <w:multiLevelType w:val="hybridMultilevel"/>
    <w:lvl w:ilvl="0">
      <w:lvlJc w:val="left"/>
      <w:lvlText w:val="(%1)"/>
      <w:numFmt w:val="lowerLetter"/>
      <w:start w:val="9"/>
    </w:lvl>
  </w:abstractNum>
  <w:abstractNum w:abstractNumId="64">
    <w:nsid w:val="61E74EA3"/>
    <w:multiLevelType w:val="hybridMultilevel"/>
    <w:lvl w:ilvl="0">
      <w:lvlJc w:val="left"/>
      <w:lvlText w:val="(%1)"/>
      <w:numFmt w:val="lowerLetter"/>
      <w:start w:val="1"/>
    </w:lvl>
  </w:abstractNum>
  <w:abstractNum w:abstractNumId="65">
    <w:nsid w:val="597B4D84"/>
    <w:multiLevelType w:val="hybridMultilevel"/>
    <w:lvl w:ilvl="0">
      <w:lvlJc w:val="left"/>
      <w:lvlText w:val="(%1)"/>
      <w:numFmt w:val="lowerLetter"/>
      <w:start w:val="12"/>
    </w:lvl>
  </w:abstractNum>
  <w:abstractNum w:abstractNumId="66">
    <w:nsid w:val="F819E7F"/>
    <w:multiLevelType w:val="hybridMultilevel"/>
    <w:lvl w:ilvl="0">
      <w:lvlJc w:val="left"/>
      <w:lvlText w:val="(%1)"/>
      <w:numFmt w:val="lowerLetter"/>
      <w:start w:val="1"/>
    </w:lvl>
  </w:abstractNum>
  <w:abstractNum w:abstractNumId="67">
    <w:nsid w:val="57C7D42D"/>
    <w:multiLevelType w:val="hybridMultilevel"/>
    <w:lvl w:ilvl="0">
      <w:lvlJc w:val="left"/>
      <w:lvlText w:val="(%1)"/>
      <w:numFmt w:val="lowerLetter"/>
      <w:start w:val="1"/>
    </w:lvl>
  </w:abstractNum>
  <w:abstractNum w:abstractNumId="68">
    <w:nsid w:val="312167AD"/>
    <w:multiLevelType w:val="hybridMultilevel"/>
    <w:lvl w:ilvl="0">
      <w:lvlJc w:val="left"/>
      <w:lvlText w:val="(%1)"/>
      <w:numFmt w:val="lowerLetter"/>
      <w:start w:val="1"/>
    </w:lvl>
  </w:abstractNum>
  <w:abstractNum w:abstractNumId="69">
    <w:nsid w:val="631B64D4"/>
    <w:multiLevelType w:val="hybridMultilevel"/>
    <w:lvl w:ilvl="0">
      <w:lvlJc w:val="left"/>
      <w:lvlText w:val="%1."/>
      <w:numFmt w:val="decimal"/>
      <w:start w:val="2"/>
    </w:lvl>
  </w:abstractNum>
  <w:abstractNum w:abstractNumId="70">
    <w:nsid w:val="78B5E77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1">
    <w:nsid w:val="75486E47"/>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2">
    <w:nsid w:val="6E534CDE"/>
    <w:multiLevelType w:val="hybridMultilevel"/>
    <w:lvl w:ilvl="0">
      <w:lvlJc w:val="left"/>
      <w:lvlText w:val="(%1)"/>
      <w:numFmt w:val="lowerLetter"/>
      <w:start w:val="1"/>
    </w:lvl>
  </w:abstractNum>
  <w:abstractNum w:abstractNumId="73">
    <w:nsid w:val="1A0DDE32"/>
    <w:multiLevelType w:val="hybridMultilevel"/>
    <w:lvl w:ilvl="0">
      <w:lvlJc w:val="left"/>
      <w:lvlText w:val="(%1)"/>
      <w:numFmt w:val="lowerLetter"/>
      <w:start w:val="1"/>
    </w:lvl>
  </w:abstractNum>
  <w:abstractNum w:abstractNumId="74">
    <w:nsid w:val="65968C1C"/>
    <w:multiLevelType w:val="hybridMultilevel"/>
    <w:lvl w:ilvl="0">
      <w:lvlJc w:val="left"/>
      <w:lvlText w:val="(%1)"/>
      <w:numFmt w:val="lowerLetter"/>
      <w:start w:val="3"/>
    </w:lvl>
    <w:lvl w:ilvl="1">
      <w:lvlJc w:val="left"/>
      <w:lvlText w:val="(%2)"/>
      <w:numFmt w:val="lowerRoman"/>
      <w:start w:val="1"/>
    </w:lvl>
  </w:abstractNum>
  <w:abstractNum w:abstractNumId="75">
    <w:nsid w:val="46263DEC"/>
    <w:multiLevelType w:val="hybridMultilevel"/>
    <w:lvl w:ilvl="0">
      <w:lvlJc w:val="left"/>
      <w:lvlText w:val="(%1)"/>
      <w:numFmt w:val="lowerLetter"/>
      <w:start w:val="4"/>
    </w:lvl>
    <w:lvl w:ilvl="1">
      <w:lvlJc w:val="left"/>
      <w:lvlText w:val="(%2)"/>
      <w:numFmt w:val="lowerRoman"/>
      <w:start w:val="1"/>
    </w:lvl>
  </w:abstractNum>
  <w:abstractNum w:abstractNumId="76">
    <w:nsid w:val="260D8C4A"/>
    <w:multiLevelType w:val="hybridMultilevel"/>
    <w:lvl w:ilvl="0">
      <w:lvlJc w:val="left"/>
      <w:lvlText w:val="%1"/>
      <w:numFmt w:val="lowerLetter"/>
      <w:start w:val="1"/>
    </w:lvl>
    <w:lvl w:ilvl="1">
      <w:lvlJc w:val="left"/>
      <w:lvlText w:val="(%2)"/>
      <w:numFmt w:val="lowerRoman"/>
      <w:start w:val="4"/>
    </w:lvl>
  </w:abstractNum>
  <w:abstractNum w:abstractNumId="77">
    <w:nsid w:val="73D4D3C4"/>
    <w:multiLevelType w:val="hybridMultilevel"/>
    <w:lvl w:ilvl="0">
      <w:lvlJc w:val="left"/>
      <w:lvlText w:val="(%1)"/>
      <w:numFmt w:val="lowerLetter"/>
      <w:start w:val="5"/>
    </w:lvl>
    <w:lvl w:ilvl="1">
      <w:lvlJc w:val="left"/>
      <w:lvlText w:val="(%2)"/>
      <w:numFmt w:val="lowerRoman"/>
      <w:start w:val="1"/>
    </w:lvl>
  </w:abstractNum>
  <w:abstractNum w:abstractNumId="78">
    <w:nsid w:val="746F2E30"/>
    <w:multiLevelType w:val="hybridMultilevel"/>
    <w:lvl w:ilvl="0">
      <w:lvlJc w:val="left"/>
      <w:lvlText w:val="%1"/>
      <w:numFmt w:val="lowerLetter"/>
      <w:start w:val="1"/>
    </w:lvl>
    <w:lvl w:ilvl="1">
      <w:lvlJc w:val="left"/>
      <w:lvlText w:val="(%2)"/>
      <w:numFmt w:val="lowerRoman"/>
      <w:start w:val="2"/>
    </w:lvl>
  </w:abstractNum>
  <w:abstractNum w:abstractNumId="79">
    <w:nsid w:val="6FDE8AF6"/>
    <w:multiLevelType w:val="hybridMultilevel"/>
    <w:lvl w:ilvl="0">
      <w:lvlJc w:val="left"/>
      <w:lvlText w:val="(%1)"/>
      <w:numFmt w:val="lowerLetter"/>
      <w:start w:val="6"/>
    </w:lvl>
    <w:lvl w:ilvl="1">
      <w:lvlJc w:val="left"/>
      <w:lvlText w:val="%2"/>
      <w:numFmt w:val="lowerRoman"/>
      <w:start w:val="1"/>
    </w:lvl>
  </w:abstractNum>
  <w:abstractNum w:abstractNumId="80">
    <w:nsid w:val="3FC32E20"/>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81">
    <w:nsid w:val="49C0E823"/>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82">
    <w:nsid w:val="14D53685"/>
    <w:multiLevelType w:val="hybridMultilevel"/>
    <w:lvl w:ilvl="0">
      <w:lvlJc w:val="left"/>
      <w:lvlText w:val="%1"/>
      <w:numFmt w:val="lowerLetter"/>
      <w:start w:val="1"/>
    </w:lvl>
    <w:lvl w:ilvl="1">
      <w:lvlJc w:val="left"/>
      <w:lvlText w:val="(%2)"/>
      <w:numFmt w:val="upperLetter"/>
      <w:start w:val="2"/>
    </w:lvl>
  </w:abstractNum>
  <w:abstractNum w:abstractNumId="83">
    <w:nsid w:val="230F856C"/>
    <w:multiLevelType w:val="hybridMultilevel"/>
    <w:lvl w:ilvl="0">
      <w:lvlJc w:val="left"/>
      <w:lvlText w:val="(%1)"/>
      <w:numFmt w:val="lowerLetter"/>
      <w:start w:val="8"/>
    </w:lvl>
    <w:lvl w:ilvl="1">
      <w:lvlJc w:val="left"/>
      <w:lvlText w:val="%2"/>
      <w:numFmt w:val="upperLetter"/>
      <w:start w:val="1"/>
    </w:lvl>
  </w:abstractNum>
  <w:abstractNum w:abstractNumId="84">
    <w:nsid w:val="6EAA85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5">
    <w:nsid w:val="3F06ECB2"/>
    <w:multiLevelType w:val="hybridMultilevel"/>
    <w:lvl w:ilvl="0">
      <w:lvlJc w:val="left"/>
      <w:lvlText w:val="(%1)"/>
      <w:numFmt w:val="upperLetter"/>
      <w:start w:val="3"/>
    </w:lvl>
    <w:lvl w:ilvl="1">
      <w:lvlJc w:val="left"/>
      <w:lvlText w:val="(%2)"/>
      <w:numFmt w:val="upperLetter"/>
      <w:start w:val="9"/>
    </w:lvl>
  </w:abstractNum>
  <w:abstractNum w:abstractNumId="86">
    <w:nsid w:val="3B594807"/>
    <w:multiLevelType w:val="hybridMultilevel"/>
    <w:lvl w:ilvl="0">
      <w:lvlJc w:val="left"/>
      <w:lvlText w:val="%1"/>
      <w:numFmt w:val="upperLetter"/>
      <w:start w:val="1"/>
    </w:lvl>
    <w:lvl w:ilvl="1">
      <w:lvlJc w:val="left"/>
      <w:lvlText w:val="(%2)"/>
      <w:numFmt w:val="upperLetter"/>
      <w:start w:val="35"/>
    </w:lvl>
  </w:abstractNum>
  <w:abstractNum w:abstractNumId="87">
    <w:nsid w:val="6CAA2304"/>
    <w:multiLevelType w:val="hybridMultilevel"/>
    <w:lvl w:ilvl="0">
      <w:lvlJc w:val="left"/>
      <w:lvlText w:val="(%1)"/>
      <w:numFmt w:val="upperLetter"/>
      <w:start w:val="11"/>
    </w:lvl>
    <w:lvl w:ilvl="1">
      <w:lvlJc w:val="left"/>
      <w:lvlText w:val="%2"/>
      <w:numFmt w:val="upperLetter"/>
      <w:start w:val="1"/>
    </w:lvl>
  </w:abstractNum>
  <w:abstractNum w:abstractNumId="88">
    <w:nsid w:val="3F7C2FF4"/>
    <w:multiLevelType w:val="hybridMultilevel"/>
    <w:lvl w:ilvl="0">
      <w:lvlJc w:val="left"/>
      <w:lvlText w:val="%1"/>
      <w:numFmt w:val="lowerLetter"/>
      <w:start w:val="1"/>
    </w:lvl>
    <w:lvl w:ilvl="1">
      <w:lvlJc w:val="left"/>
      <w:lvlText w:val="(%2)"/>
      <w:numFmt w:val="lowerRoman"/>
      <w:start w:val="4"/>
    </w:lvl>
  </w:abstractNum>
  <w:abstractNum w:abstractNumId="89">
    <w:nsid w:val="25413BEC"/>
    <w:multiLevelType w:val="hybridMultilevel"/>
    <w:lvl w:ilvl="0">
      <w:lvlJc w:val="left"/>
      <w:lvlText w:val="(%1)"/>
      <w:numFmt w:val="lowerLetter"/>
      <w:start w:val="3"/>
    </w:lvl>
    <w:lvl w:ilvl="1">
      <w:lvlJc w:val="left"/>
      <w:lvlText w:val="(%2)"/>
      <w:numFmt w:val="lowerRoman"/>
      <w:start w:val="1"/>
    </w:lvl>
  </w:abstractNum>
  <w:abstractNum w:abstractNumId="90">
    <w:nsid w:val="17180B0B"/>
    <w:multiLevelType w:val="hybridMultilevel"/>
    <w:lvl w:ilvl="0">
      <w:lvlJc w:val="left"/>
      <w:lvlText w:val="%1"/>
      <w:numFmt w:val="lowerLetter"/>
      <w:start w:val="1"/>
    </w:lvl>
    <w:lvl w:ilvl="1">
      <w:lvlJc w:val="left"/>
      <w:lvlText w:val="(%2)"/>
      <w:numFmt w:val="lowerLetter"/>
      <w:start w:val="35"/>
    </w:lvl>
  </w:abstractNum>
  <w:abstractNum w:abstractNumId="91">
    <w:nsid w:val="579328B9"/>
    <w:multiLevelType w:val="hybridMultilevel"/>
    <w:lvl w:ilvl="0">
      <w:lvlJc w:val="left"/>
      <w:lvlText w:val="(%1)"/>
      <w:numFmt w:val="lowerLetter"/>
      <w:start w:val="5"/>
    </w:lvl>
    <w:lvl w:ilvl="1">
      <w:lvlJc w:val="left"/>
      <w:lvlText w:val="(%2)"/>
      <w:numFmt w:val="lowerLetter"/>
      <w:start w:val="9"/>
    </w:lvl>
  </w:abstractNum>
  <w:abstractNum w:abstractNumId="92">
    <w:nsid w:val="5D205E20"/>
    <w:multiLevelType w:val="hybridMultilevel"/>
    <w:lvl w:ilvl="0">
      <w:lvlJc w:val="left"/>
      <w:lvlText w:val="(%1)"/>
      <w:numFmt w:val="lowerLetter"/>
      <w:start w:val="1"/>
    </w:lvl>
  </w:abstractNum>
  <w:abstractNum w:abstractNumId="93">
    <w:nsid w:val="11CCA8BA"/>
    <w:multiLevelType w:val="hybridMultilevel"/>
    <w:lvl w:ilvl="0">
      <w:lvlJc w:val="left"/>
      <w:lvlText w:val="(%1)"/>
      <w:numFmt w:val="lowerLetter"/>
      <w:start w:val="1"/>
    </w:lvl>
    <w:lvl w:ilvl="1">
      <w:lvlJc w:val="left"/>
      <w:lvlText w:val="(%2)"/>
      <w:numFmt w:val="lowerRoman"/>
      <w:start w:val="1"/>
    </w:lvl>
  </w:abstractNum>
  <w:abstractNum w:abstractNumId="94">
    <w:nsid w:val="4D32AB86"/>
    <w:multiLevelType w:val="hybridMultilevel"/>
    <w:lvl w:ilvl="0">
      <w:lvlJc w:val="left"/>
      <w:lvlText w:val="(%1)"/>
      <w:numFmt w:val="lowerLetter"/>
      <w:start w:val="2"/>
    </w:lvl>
  </w:abstractNum>
  <w:abstractNum w:abstractNumId="95">
    <w:nsid w:val="3F07ACC3"/>
    <w:multiLevelType w:val="hybridMultilevel"/>
    <w:lvl w:ilvl="0">
      <w:lvlJc w:val="left"/>
      <w:lvlText w:val="(%1)"/>
      <w:numFmt w:val="lowerLetter"/>
      <w:start w:val="6"/>
    </w:lvl>
  </w:abstractNum>
  <w:abstractNum w:abstractNumId="96">
    <w:nsid w:val="6B47F63E"/>
    <w:multiLevelType w:val="hybridMultilevel"/>
    <w:lvl w:ilvl="0">
      <w:lvlJc w:val="left"/>
      <w:lvlText w:val="(%1)"/>
      <w:numFmt w:val="lowerLetter"/>
      <w:start w:val="1"/>
    </w:lvl>
  </w:abstractNum>
  <w:abstractNum w:abstractNumId="97">
    <w:nsid w:val="5CB44A05"/>
    <w:multiLevelType w:val="hybridMultilevel"/>
    <w:lvl w:ilvl="0">
      <w:lvlJc w:val="left"/>
      <w:lvlText w:val="(%1)"/>
      <w:numFmt w:val="lowerLetter"/>
      <w:start w:val="2"/>
    </w:lvl>
  </w:abstractNum>
  <w:abstractNum w:abstractNumId="98">
    <w:nsid w:val="16CF80F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9">
    <w:nsid w:val="1C695DEC"/>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100">
    <w:nsid w:val="3FCFAED9"/>
    <w:multiLevelType w:val="hybridMultilevel"/>
    <w:lvl w:ilvl="0">
      <w:lvlJc w:val="left"/>
      <w:lvlText w:val="%1"/>
      <w:numFmt w:val="lowerLetter"/>
      <w:start w:val="1"/>
    </w:lvl>
    <w:lvl w:ilvl="1">
      <w:lvlJc w:val="left"/>
      <w:lvlText w:val="(%2)"/>
      <w:numFmt w:val="lowerRoman"/>
      <w:start w:val="4"/>
    </w:lvl>
  </w:abstractNum>
  <w:abstractNum w:abstractNumId="101">
    <w:nsid w:val="F856867"/>
    <w:multiLevelType w:val="hybridMultilevel"/>
    <w:lvl w:ilvl="0">
      <w:lvlJc w:val="left"/>
      <w:lvlText w:val="(%1)"/>
      <w:numFmt w:val="lowerLetter"/>
      <w:start w:val="3"/>
    </w:lvl>
    <w:lvl w:ilvl="1">
      <w:lvlJc w:val="left"/>
      <w:lvlText w:val="%2"/>
      <w:numFmt w:val="lowerRoman"/>
      <w:start w:val="1"/>
    </w:lvl>
  </w:abstractNum>
  <w:abstractNum w:abstractNumId="102">
    <w:nsid w:val="11B1CC33"/>
    <w:multiLevelType w:val="hybridMultilevel"/>
    <w:lvl w:ilvl="0">
      <w:lvlJc w:val="left"/>
      <w:lvlText w:val="(%1)"/>
      <w:numFmt w:val="lowerLetter"/>
      <w:start w:val="6"/>
    </w:lvl>
    <w:lvl w:ilvl="1">
      <w:lvlJc w:val="left"/>
      <w:lvlText w:val="(%2)"/>
      <w:numFmt w:val="lowerRoman"/>
      <w:start w:val="1"/>
    </w:lvl>
  </w:abstractNum>
  <w:abstractNum w:abstractNumId="103">
    <w:nsid w:val="2E22FBB7"/>
    <w:multiLevelType w:val="hybridMultilevel"/>
    <w:lvl w:ilvl="0">
      <w:lvlJc w:val="left"/>
      <w:lvlText w:val="(%1)"/>
      <w:numFmt w:val="lowerRoman"/>
      <w:start w:val="8"/>
    </w:lvl>
  </w:abstractNum>
  <w:abstractNum w:abstractNumId="104">
    <w:nsid w:val="29934699"/>
    <w:multiLevelType w:val="hybridMultilevel"/>
    <w:lvl w:ilvl="0">
      <w:lvlJc w:val="left"/>
      <w:lvlText w:val="(%1)"/>
      <w:numFmt w:val="lowerLetter"/>
      <w:start w:val="7"/>
    </w:lvl>
  </w:abstractNum>
  <w:abstractNum w:abstractNumId="105">
    <w:nsid w:val="77485850"/>
    <w:multiLevelType w:val="hybridMultilevel"/>
    <w:lvl w:ilvl="0">
      <w:lvlJc w:val="left"/>
      <w:lvlText w:val="(%1)"/>
      <w:numFmt w:val="lowerLetter"/>
      <w:start w:val="8"/>
    </w:lvl>
    <w:lvl w:ilvl="1">
      <w:lvlJc w:val="left"/>
      <w:lvlText w:val="(%2)"/>
      <w:numFmt w:val="lowerRoman"/>
      <w:start w:val="1"/>
    </w:lvl>
  </w:abstractNum>
  <w:abstractNum w:abstractNumId="106">
    <w:nsid w:val="744939A3"/>
    <w:multiLevelType w:val="hybridMultilevel"/>
    <w:lvl w:ilvl="0">
      <w:lvlJc w:val="left"/>
      <w:lvlText w:val="(%1)"/>
      <w:numFmt w:val="lowerRoman"/>
      <w:start w:val="7"/>
    </w:lvl>
  </w:abstractNum>
  <w:abstractNum w:abstractNumId="107">
    <w:nsid w:val="4FA0D2E3"/>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108">
    <w:nsid w:val="6B1D2C1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09">
    <w:nsid w:val="68B867D3"/>
    <w:multiLevelType w:val="hybridMultilevel"/>
    <w:lvl w:ilvl="0">
      <w:lvlJc w:val="left"/>
      <w:lvlText w:val="%1"/>
      <w:numFmt w:val="lowerLetter"/>
      <w:start w:val="1"/>
    </w:lvl>
    <w:lvl w:ilvl="1">
      <w:lvlJc w:val="left"/>
      <w:lvlText w:val="(%2)"/>
      <w:numFmt w:val="lowerRoman"/>
      <w:start w:val="9"/>
    </w:lvl>
  </w:abstractNum>
  <w:abstractNum w:abstractNumId="110">
    <w:nsid w:val="3F7F5DD9"/>
    <w:multiLevelType w:val="hybridMultilevel"/>
    <w:lvl w:ilvl="0">
      <w:lvlJc w:val="left"/>
      <w:lvlText w:val="(%1)"/>
      <w:numFmt w:val="lowerLetter"/>
      <w:start w:val="11"/>
    </w:lvl>
    <w:lvl w:ilvl="1">
      <w:lvlJc w:val="left"/>
      <w:lvlText w:val="(%2)"/>
      <w:numFmt w:val="lowerRoman"/>
      <w:start w:val="1"/>
    </w:lvl>
  </w:abstractNum>
  <w:abstractNum w:abstractNumId="111">
    <w:nsid w:val="2AE05A34"/>
    <w:multiLevelType w:val="hybridMultilevel"/>
    <w:lvl w:ilvl="0">
      <w:lvlJc w:val="left"/>
      <w:lvlText w:val="(%1)"/>
      <w:numFmt w:val="lowerLetter"/>
      <w:start w:val="13"/>
    </w:lvl>
  </w:abstractNum>
  <w:abstractNum w:abstractNumId="112">
    <w:nsid w:val="32794FF7"/>
    <w:multiLevelType w:val="hybridMultilevel"/>
    <w:lvl w:ilvl="0">
      <w:lvlJc w:val="left"/>
      <w:lvlText w:val="(%1)"/>
      <w:numFmt w:val="lowerLetter"/>
      <w:start w:val="19"/>
    </w:lvl>
  </w:abstractNum>
  <w:abstractNum w:abstractNumId="113">
    <w:nsid w:val="5454945E"/>
    <w:multiLevelType w:val="hybridMultilevel"/>
    <w:lvl w:ilvl="0">
      <w:lvlJc w:val="left"/>
      <w:lvlText w:val="(%1)"/>
      <w:numFmt w:val="lowerLetter"/>
      <w:start w:val="1"/>
    </w:lvl>
    <w:lvl w:ilvl="1">
      <w:lvlJc w:val="left"/>
      <w:lvlText w:val="(%2)"/>
      <w:numFmt w:val="lowerRoman"/>
      <w:start w:val="1"/>
    </w:lvl>
  </w:abstractNum>
  <w:abstractNum w:abstractNumId="114">
    <w:nsid w:val="4DEFDFA0"/>
    <w:multiLevelType w:val="hybridMultilevel"/>
    <w:lvl w:ilvl="0">
      <w:lvlJc w:val="left"/>
      <w:lvlText w:val="%1"/>
      <w:numFmt w:val="lowerLetter"/>
      <w:start w:val="1"/>
    </w:lvl>
    <w:lvl w:ilvl="1">
      <w:lvlJc w:val="left"/>
      <w:lvlText w:val="(%2)"/>
      <w:numFmt w:val="lowerLetter"/>
      <w:start w:val="61"/>
    </w:lvl>
  </w:abstractNum>
  <w:abstractNum w:abstractNumId="115">
    <w:nsid w:val="2123D5F2"/>
    <w:multiLevelType w:val="hybridMultilevel"/>
    <w:lvl w:ilvl="0">
      <w:lvlJc w:val="left"/>
      <w:lvlText w:val="(%1)"/>
      <w:numFmt w:val="lowerLetter"/>
      <w:start w:val="3"/>
    </w:lvl>
    <w:lvl w:ilvl="1">
      <w:lvlJc w:val="left"/>
      <w:lvlText w:val="(%2)"/>
      <w:numFmt w:val="lowerLetter"/>
      <w:start w:val="9"/>
    </w:lvl>
  </w:abstractNum>
  <w:abstractNum w:abstractNumId="116">
    <w:nsid w:val="135B8110"/>
    <w:multiLevelType w:val="hybridMultilevel"/>
    <w:lvl w:ilvl="0">
      <w:lvlJc w:val="left"/>
      <w:lvlText w:val="%1"/>
      <w:numFmt w:val="lowerLetter"/>
      <w:start w:val="1"/>
    </w:lvl>
    <w:lvl w:ilvl="1">
      <w:lvlJc w:val="left"/>
      <w:lvlText w:val="(%2)"/>
      <w:numFmt w:val="lowerLetter"/>
      <w:start w:val="35"/>
    </w:lvl>
  </w:abstractNum>
  <w:abstractNum w:abstractNumId="117">
    <w:nsid w:val="94927A8"/>
    <w:multiLevelType w:val="hybridMultilevel"/>
    <w:lvl w:ilvl="0">
      <w:lvlJc w:val="left"/>
      <w:lvlText w:val="(%1)"/>
      <w:numFmt w:val="lowerLetter"/>
      <w:start w:val="5"/>
    </w:lvl>
    <w:lvl w:ilvl="1">
      <w:lvlJc w:val="left"/>
      <w:lvlText w:val="%2"/>
      <w:numFmt w:val="lowerLetter"/>
      <w:start w:val="1"/>
    </w:lvl>
  </w:abstractNum>
  <w:abstractNum w:abstractNumId="118">
    <w:nsid w:val="DCDF8F6"/>
    <w:multiLevelType w:val="hybridMultilevel"/>
    <w:lvl w:ilvl="0">
      <w:lvlJc w:val="left"/>
      <w:lvlText w:val="(%1)"/>
      <w:numFmt w:val="lowerLetter"/>
      <w:start w:val="1"/>
    </w:lvl>
  </w:abstractNum>
  <w:abstractNum w:abstractNumId="119">
    <w:nsid w:val="52D7B105"/>
    <w:multiLevelType w:val="hybridMultilevel"/>
    <w:lvl w:ilvl="0">
      <w:lvlJc w:val="left"/>
      <w:lvlText w:val="(%1)"/>
      <w:numFmt w:val="lowerLetter"/>
      <w:start w:val="3"/>
    </w:lvl>
  </w:abstractNum>
  <w:abstractNum w:abstractNumId="120">
    <w:nsid w:val="2E8A6394"/>
    <w:multiLevelType w:val="hybridMultilevel"/>
    <w:lvl w:ilvl="0">
      <w:lvlJc w:val="left"/>
      <w:lvlText w:val="(%1)"/>
      <w:numFmt w:val="lowerLetter"/>
      <w:start w:val="1"/>
    </w:lvl>
  </w:abstractNum>
  <w:abstractNum w:abstractNumId="121">
    <w:nsid w:val="24E60401"/>
    <w:multiLevelType w:val="hybridMultilevel"/>
    <w:lvl w:ilvl="0">
      <w:lvlJc w:val="left"/>
      <w:lvlText w:val="(%1)"/>
      <w:numFmt w:val="lowerLetter"/>
      <w:start w:val="5"/>
    </w:lvl>
  </w:abstractNum>
  <w:abstractNum w:abstractNumId="122">
    <w:nsid w:val="2A6AD9BE"/>
    <w:multiLevelType w:val="hybridMultilevel"/>
    <w:lvl w:ilvl="0">
      <w:lvlJc w:val="left"/>
      <w:lvlText w:val="(%1)"/>
      <w:numFmt w:val="lowerLetter"/>
      <w:start w:val="6"/>
    </w:lvl>
  </w:abstractNum>
  <w:abstractNum w:abstractNumId="123">
    <w:nsid w:val="BAAC1B4"/>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24">
    <w:nsid w:val="36B2ACBC"/>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abstractNum>
  <w:abstractNum w:abstractNumId="125">
    <w:nsid w:val="779D8544"/>
    <w:multiLevelType w:val="hybridMultilevel"/>
    <w:lvl w:ilvl="0">
      <w:lvlJc w:val="left"/>
      <w:lvlText w:val="(%1)"/>
      <w:numFmt w:val="lowerLetter"/>
      <w:start w:val="1"/>
    </w:lvl>
  </w:abstractNum>
  <w:abstractNum w:abstractNumId="126">
    <w:nsid w:val="4AB26E78"/>
    <w:multiLevelType w:val="hybridMultilevel"/>
    <w:lvl w:ilvl="0">
      <w:lvlJc w:val="left"/>
      <w:lvlText w:val="%1."/>
      <w:numFmt w:val="decimal"/>
      <w:start w:val="4"/>
    </w:lvl>
  </w:abstractNum>
  <w:abstractNum w:abstractNumId="127">
    <w:nsid w:val="21FAA2FA"/>
    <w:multiLevelType w:val="hybridMultilevel"/>
    <w:lvl w:ilvl="0">
      <w:lvlJc w:val="left"/>
      <w:lvlText w:val="(%1)"/>
      <w:numFmt w:val="lowerLetter"/>
      <w:start w:val="1"/>
    </w:lvl>
  </w:abstractNum>
  <w:abstractNum w:abstractNumId="128">
    <w:nsid w:val="5451CF49"/>
    <w:multiLevelType w:val="hybridMultilevel"/>
    <w:lvl w:ilvl="0">
      <w:lvlJc w:val="left"/>
      <w:lvlText w:val="(%1)"/>
      <w:numFmt w:val="lowerLetter"/>
      <w:start w:val="1"/>
    </w:lvl>
  </w:abstractNum>
  <w:abstractNum w:abstractNumId="129">
    <w:nsid w:val="6181EF69"/>
    <w:multiLevelType w:val="hybridMultilevel"/>
    <w:lvl w:ilvl="0">
      <w:lvlJc w:val="left"/>
      <w:lvlText w:val="(%1)"/>
      <w:numFmt w:val="lowerLetter"/>
      <w:start w:val="2"/>
    </w:lvl>
  </w:abstractNum>
  <w:abstractNum w:abstractNumId="130">
    <w:nsid w:val="3E6400E6"/>
    <w:multiLevelType w:val="hybridMultilevel"/>
    <w:lvl w:ilvl="0">
      <w:lvlJc w:val="left"/>
      <w:lvlText w:val="%1"/>
      <w:numFmt w:val="lowerLetter"/>
      <w:start w:val="1"/>
    </w:lvl>
    <w:lvl w:ilvl="1">
      <w:lvlJc w:val="left"/>
      <w:lvlText w:val="(%2)"/>
      <w:numFmt w:val="lowerLetter"/>
      <w:start w:val="1"/>
    </w:lvl>
  </w:abstractNum>
  <w:abstractNum w:abstractNumId="131">
    <w:nsid w:val="14217E23"/>
    <w:multiLevelType w:val="hybridMultilevel"/>
    <w:lvl w:ilvl="0">
      <w:lvlJc w:val="left"/>
      <w:lvlText w:val="(%1)"/>
      <w:numFmt w:val="lowerLetter"/>
      <w:start w:val="35"/>
    </w:lvl>
    <w:lvl w:ilvl="1">
      <w:lvlJc w:val="left"/>
      <w:lvlText w:val="%2"/>
      <w:numFmt w:val="lowerLetter"/>
      <w:start w:val="1"/>
    </w:lvl>
  </w:abstractNum>
  <w:abstractNum w:abstractNumId="132">
    <w:nsid w:val="710757D0"/>
    <w:multiLevelType w:val="hybridMultilevel"/>
    <w:lvl w:ilvl="0">
      <w:lvlJc w:val="left"/>
      <w:lvlText w:val="(%1)"/>
      <w:numFmt w:val="lowerLetter"/>
      <w:start w:val="1"/>
    </w:lvl>
  </w:abstractNum>
  <w:abstractNum w:abstractNumId="133">
    <w:nsid w:val="5015CD1A"/>
    <w:multiLevelType w:val="hybridMultilevel"/>
    <w:lvl w:ilvl="0">
      <w:lvlJc w:val="left"/>
      <w:lvlText w:val="(%1)"/>
      <w:numFmt w:val="lowerLetter"/>
      <w:start w:val="1"/>
    </w:lvl>
  </w:abstractNum>
  <w:abstractNum w:abstractNumId="134">
    <w:nsid w:val="424479DA"/>
    <w:multiLevelType w:val="hybridMultilevel"/>
    <w:lvl w:ilvl="0">
      <w:lvlJc w:val="left"/>
      <w:lvlText w:val="(%1)"/>
      <w:numFmt w:val="lowerLetter"/>
      <w:start w:val="2"/>
    </w:lvl>
  </w:abstractNum>
  <w:abstractNum w:abstractNumId="135">
    <w:nsid w:val="1A9A9E69"/>
    <w:multiLevelType w:val="hybridMultilevel"/>
    <w:lvl w:ilvl="0">
      <w:lvlJc w:val="left"/>
      <w:lvlText w:val="%1."/>
      <w:numFmt w:val="decimal"/>
      <w:start w:val="5"/>
    </w:lvl>
  </w:abstractNum>
  <w:abstractNum w:abstractNumId="136">
    <w:nsid w:val="475E256A"/>
    <w:multiLevelType w:val="hybridMultilevel"/>
    <w:lvl w:ilvl="0">
      <w:lvlJc w:val="left"/>
      <w:lvlText w:val="(%1)"/>
      <w:numFmt w:val="lowerLetter"/>
      <w:start w:val="1"/>
    </w:lvl>
  </w:abstractNum>
  <w:abstractNum w:abstractNumId="137">
    <w:nsid w:val="368DB37E"/>
    <w:multiLevelType w:val="hybridMultilevel"/>
    <w:lvl w:ilvl="0">
      <w:lvlJc w:val="left"/>
      <w:lvlText w:val="(%1)"/>
      <w:numFmt w:val="lowerLetter"/>
      <w:start w:val="3"/>
    </w:lvl>
  </w:abstractNum>
  <w:abstractNum w:abstractNumId="138">
    <w:nsid w:val="6A3B714C"/>
    <w:multiLevelType w:val="hybridMultilevel"/>
    <w:lvl w:ilvl="0">
      <w:lvlJc w:val="left"/>
      <w:lvlText w:val="(%1)"/>
      <w:numFmt w:val="lowerLetter"/>
      <w:start w:val="1"/>
    </w:lvl>
  </w:abstractNum>
  <w:abstractNum w:abstractNumId="139">
    <w:nsid w:val="327B517E"/>
    <w:multiLevelType w:val="hybridMultilevel"/>
    <w:lvl w:ilvl="0">
      <w:lvlJc w:val="left"/>
      <w:lvlText w:val="(%1)"/>
      <w:numFmt w:val="lowerLetter"/>
      <w:start w:val="2"/>
    </w:lvl>
  </w:abstractNum>
  <w:abstractNum w:abstractNumId="140">
    <w:nsid w:val="1F461B51"/>
    <w:multiLevelType w:val="hybridMultilevel"/>
    <w:lvl w:ilvl="0">
      <w:lvlJc w:val="left"/>
      <w:lvlText w:val="(%1)"/>
      <w:numFmt w:val="lowerLetter"/>
      <w:start w:val="1"/>
    </w:lvl>
  </w:abstractNum>
  <w:abstractNum w:abstractNumId="141">
    <w:nsid w:val="29BACF25"/>
    <w:multiLevelType w:val="hybridMultilevel"/>
    <w:lvl w:ilvl="0">
      <w:lvlJc w:val="left"/>
      <w:lvlText w:val="(%1)"/>
      <w:numFmt w:val="lowerLetter"/>
      <w:start w:val="1"/>
    </w:lvl>
  </w:abstractNum>
  <w:abstractNum w:abstractNumId="142">
    <w:nsid w:val="5D5BABB3"/>
    <w:multiLevelType w:val="hybridMultilevel"/>
    <w:lvl w:ilvl="0">
      <w:lvlJc w:val="left"/>
      <w:lvlText w:val="%1."/>
      <w:numFmt w:val="decimal"/>
      <w:start w:val="6"/>
    </w:lvl>
  </w:abstractNum>
  <w:abstractNum w:abstractNumId="143">
    <w:nsid w:val="51BF6B48"/>
    <w:multiLevelType w:val="hybridMultilevel"/>
    <w:lvl w:ilvl="0">
      <w:lvlJc w:val="left"/>
      <w:lvlText w:val="(%1)"/>
      <w:numFmt w:val="lowerLetter"/>
      <w:start w:val="1"/>
    </w:lvl>
  </w:abstractNum>
  <w:abstractNum w:abstractNumId="144">
    <w:nsid w:val="7E0F6384"/>
    <w:multiLevelType w:val="hybridMultilevel"/>
    <w:lvl w:ilvl="0">
      <w:lvlJc w:val="left"/>
      <w:lvlText w:val="(%1)"/>
      <w:numFmt w:val="lowerLetter"/>
      <w:start w:val="1"/>
    </w:lvl>
    <w:lvl w:ilvl="1">
      <w:lvlJc w:val="left"/>
      <w:lvlText w:val="(%2)"/>
      <w:numFmt w:val="lowerRoman"/>
      <w:start w:val="1"/>
    </w:lvl>
  </w:abstractNum>
  <w:abstractNum w:abstractNumId="145">
    <w:nsid w:val="2B4B8B53"/>
    <w:multiLevelType w:val="hybridMultilevel"/>
    <w:lvl w:ilvl="0">
      <w:lvlJc w:val="left"/>
      <w:lvlText w:val="(%1)"/>
      <w:numFmt w:val="lowerLetter"/>
      <w:start w:val="2"/>
    </w:lvl>
    <w:lvl w:ilvl="1">
      <w:lvlJc w:val="left"/>
      <w:lvlText w:val="(%2)"/>
      <w:numFmt w:val="lowerRoman"/>
      <w:start w:val="1"/>
    </w:lvl>
  </w:abstractNum>
  <w:abstractNum w:abstractNumId="146">
    <w:nsid w:val="72E3413A"/>
    <w:multiLevelType w:val="hybridMultilevel"/>
    <w:lvl w:ilvl="0">
      <w:lvlJc w:val="left"/>
      <w:lvlText w:val="(%1)"/>
      <w:numFmt w:val="lowerLetter"/>
      <w:start w:val="1"/>
    </w:lvl>
  </w:abstractNum>
  <w:abstractNum w:abstractNumId="147">
    <w:nsid w:val="116AE494"/>
    <w:multiLevelType w:val="hybridMultilevel"/>
    <w:lvl w:ilvl="0">
      <w:lvlJc w:val="left"/>
      <w:lvlText w:val="(%1)"/>
      <w:numFmt w:val="lowerLetter"/>
      <w:start w:val="1"/>
    </w:lvl>
  </w:abstractNum>
  <w:abstractNum w:abstractNumId="148">
    <w:nsid w:val="3494B2FB"/>
    <w:multiLevelType w:val="hybridMultilevel"/>
    <w:lvl w:ilvl="0">
      <w:lvlJc w:val="left"/>
      <w:lvlText w:val="(%1)"/>
      <w:numFmt w:val="lowerLetter"/>
      <w:start w:val="7"/>
    </w:lvl>
  </w:abstractNum>
  <w:abstractNum w:abstractNumId="149">
    <w:nsid w:val="B13A31"/>
    <w:multiLevelType w:val="hybridMultilevel"/>
    <w:lvl w:ilvl="0">
      <w:lvlJc w:val="left"/>
      <w:lvlText w:val="(%1)"/>
      <w:numFmt w:val="lowerLetter"/>
      <w:start w:val="1"/>
    </w:lvl>
    <w:lvl w:ilvl="1">
      <w:lvlJc w:val="left"/>
      <w:lvlText w:val="(%2)"/>
      <w:numFmt w:val="lowerRoman"/>
      <w:start w:val="1"/>
    </w:lvl>
  </w:abstractNum>
  <w:abstractNum w:abstractNumId="150">
    <w:nsid w:val="64429599"/>
    <w:multiLevelType w:val="hybridMultilevel"/>
    <w:lvl w:ilvl="0">
      <w:lvlJc w:val="left"/>
      <w:lvlText w:val="%1."/>
      <w:numFmt w:val="decimal"/>
      <w:start w:val="7"/>
    </w:lvl>
  </w:abstractNum>
  <w:abstractNum w:abstractNumId="151">
    <w:nsid w:val="631F1690"/>
    <w:multiLevelType w:val="hybridMultilevel"/>
    <w:lvl w:ilvl="0">
      <w:lvlJc w:val="left"/>
      <w:lvlText w:val="%1."/>
      <w:numFmt w:val="decimal"/>
      <w:start w:val="8"/>
    </w:lvl>
  </w:abstractNum>
  <w:abstractNum w:abstractNumId="152">
    <w:nsid w:val="25973E32"/>
    <w:multiLevelType w:val="hybridMultilevel"/>
    <w:lvl w:ilvl="0">
      <w:lvlJc w:val="left"/>
      <w:lvlText w:val="%1"/>
      <w:numFmt w:val="lowerLetter"/>
      <w:start w:val="1"/>
    </w:lvl>
    <w:lvl w:ilvl="1">
      <w:lvlJc w:val="left"/>
      <w:lvlText w:val="(%2)"/>
      <w:numFmt w:val="lowerLetter"/>
      <w:start w:val="1"/>
    </w:lvl>
  </w:abstractNum>
  <w:abstractNum w:abstractNumId="153">
    <w:nsid w:val="EAD6F57"/>
    <w:multiLevelType w:val="hybridMultilevel"/>
    <w:lvl w:ilvl="0">
      <w:lvlJc w:val="left"/>
      <w:lvlText w:val="(%1)"/>
      <w:numFmt w:val="lowerLetter"/>
      <w:start w:val="1"/>
    </w:lvl>
    <w:lvl w:ilvl="1">
      <w:lvlJc w:val="left"/>
      <w:lvlText w:val="(%2)"/>
      <w:numFmt w:val="lowerLetter"/>
      <w:start w:val="2"/>
    </w:lvl>
  </w:abstractNum>
  <w:abstractNum w:abstractNumId="154">
    <w:nsid w:val="6EC9D844"/>
    <w:multiLevelType w:val="hybridMultilevel"/>
    <w:lvl w:ilvl="0">
      <w:lvlJc w:val="left"/>
      <w:lvlText w:val="%1."/>
      <w:numFmt w:val="decimal"/>
      <w:start w:val="9"/>
    </w:lvl>
  </w:abstractNum>
  <w:abstractNum w:abstractNumId="155">
    <w:nsid w:val="5C49EAEE"/>
    <w:multiLevelType w:val="hybridMultilevel"/>
    <w:lvl w:ilvl="0">
      <w:lvlJc w:val="left"/>
      <w:lvlText w:val="(%1)"/>
      <w:numFmt w:val="lowerLetter"/>
      <w:start w:val="1"/>
    </w:lvl>
  </w:abstractNum>
  <w:abstractNum w:abstractNumId="156">
    <w:nsid w:val="64AF49B"/>
    <w:multiLevelType w:val="hybridMultilevel"/>
    <w:lvl w:ilvl="0">
      <w:lvlJc w:val="left"/>
      <w:lvlText w:val="(%1)"/>
      <w:numFmt w:val="lowerLetter"/>
      <w:start w:val="1"/>
    </w:lvl>
  </w:abstractNum>
  <w:abstractNum w:abstractNumId="157">
    <w:nsid w:val="397C46BC"/>
    <w:multiLevelType w:val="hybridMultilevel"/>
    <w:lvl w:ilvl="0">
      <w:lvlJc w:val="left"/>
      <w:lvlText w:val="(%1)"/>
      <w:numFmt w:val="lowerLetter"/>
      <w:start w:val="2"/>
    </w:lvl>
  </w:abstractNum>
  <w:abstractNum w:abstractNumId="158">
    <w:nsid w:val="7E448DE9"/>
    <w:multiLevelType w:val="hybridMultilevel"/>
    <w:lvl w:ilvl="0">
      <w:lvlJc w:val="left"/>
      <w:lvlText w:val="%1"/>
      <w:numFmt w:val="decimal"/>
      <w:start w:val="1"/>
    </w:lvl>
    <w:lvl w:ilvl="1">
      <w:lvlJc w:val="left"/>
      <w:lvlText w:val="(%2)"/>
      <w:numFmt w:val="lowerLetter"/>
      <w:start w:val="7"/>
    </w:lvl>
  </w:abstractNum>
  <w:abstractNum w:abstractNumId="159">
    <w:nsid w:val="5A9CC3E5"/>
    <w:multiLevelType w:val="hybridMultilevel"/>
    <w:lvl w:ilvl="0">
      <w:lvlJc w:val="left"/>
      <w:lvlText w:val="%1."/>
      <w:numFmt w:val="decimal"/>
      <w:start w:val="10"/>
    </w:lvl>
    <w:lvl w:ilvl="1">
      <w:lvlJc w:val="left"/>
      <w:lvlText w:val="%2"/>
      <w:numFmt w:val="lowerLetter"/>
      <w:start w:val="1"/>
    </w:lvl>
  </w:abstractNum>
  <w:abstractNum w:abstractNumId="160">
    <w:nsid w:val="1AFE3625"/>
    <w:multiLevelType w:val="hybridMultilevel"/>
    <w:lvl w:ilvl="0">
      <w:lvlJc w:val="left"/>
      <w:lvlText w:val="%1."/>
      <w:numFmt w:val="decimal"/>
      <w:start w:val="11"/>
    </w:lvl>
  </w:abstractNum>
  <w:abstractNum w:abstractNumId="161">
    <w:nsid w:val="3CA88ECF"/>
    <w:multiLevelType w:val="hybridMultilevel"/>
    <w:lvl w:ilvl="0">
      <w:lvlJc w:val="left"/>
      <w:lvlText w:val="%1."/>
      <w:numFmt w:val="decimal"/>
      <w:start w:val="12"/>
    </w:lvl>
    <w:lvl w:ilvl="1">
      <w:lvlJc w:val="left"/>
      <w:lvlText w:val="(%2)"/>
      <w:numFmt w:val="lowerLetter"/>
      <w:start w:val="1"/>
    </w:lvl>
  </w:abstractNum>
  <w:abstractNum w:abstractNumId="162">
    <w:nsid w:val="6EBE4208"/>
    <w:multiLevelType w:val="hybridMultilevel"/>
    <w:lvl w:ilvl="0">
      <w:lvlJc w:val="left"/>
      <w:lvlText w:val="(%1)"/>
      <w:numFmt w:val="lowerLetter"/>
      <w:start w:val="4"/>
    </w:lvl>
    <w:lvl w:ilvl="1">
      <w:lvlJc w:val="left"/>
      <w:lvlText w:val="(%2)"/>
      <w:numFmt w:val="lowerRoman"/>
      <w:start w:val="1"/>
    </w:lvl>
  </w:abstractNum>
  <w:abstractNum w:abstractNumId="163">
    <w:nsid w:val="C058DF5"/>
    <w:multiLevelType w:val="hybridMultilevel"/>
    <w:lvl w:ilvl="0">
      <w:lvlJc w:val="left"/>
      <w:lvlText w:val="(%1)"/>
      <w:numFmt w:val="lowerRoman"/>
      <w:start w:val="4"/>
    </w:lvl>
  </w:abstractNum>
  <w:abstractNum w:abstractNumId="164">
    <w:nsid w:val="CBE5BE9"/>
    <w:multiLevelType w:val="hybridMultilevel"/>
    <w:lvl w:ilvl="0">
      <w:lvlJc w:val="left"/>
      <w:lvlText w:val="%1."/>
      <w:numFmt w:val="decimal"/>
      <w:start w:val="13"/>
    </w:lvl>
  </w:abstractNum>
  <w:abstractNum w:abstractNumId="165">
    <w:nsid w:val="3102BBE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6">
    <w:nsid w:val="26A02C5E"/>
    <w:multiLevelType w:val="hybridMultilevel"/>
    <w:lvl w:ilvl="0">
      <w:lvlJc w:val="left"/>
      <w:lvlText w:val="(%1)"/>
      <w:numFmt w:val="lowerLetter"/>
      <w:start w:val="3"/>
    </w:lvl>
  </w:abstractNum>
  <w:abstractNum w:abstractNumId="167">
    <w:nsid w:val="541C8153"/>
    <w:multiLevelType w:val="hybridMultilevel"/>
    <w:lvl w:ilvl="0">
      <w:lvlJc w:val="left"/>
      <w:lvlText w:val="(%1)"/>
      <w:numFmt w:val="lowerLetter"/>
      <w:start w:val="6"/>
    </w:lvl>
  </w:abstractNum>
  <w:abstractNum w:abstractNumId="168">
    <w:nsid w:val="67906F60"/>
    <w:multiLevelType w:val="hybridMultilevel"/>
    <w:lvl w:ilvl="0">
      <w:lvlJc w:val="left"/>
      <w:lvlText w:val="(%1)"/>
      <w:numFmt w:val="lowerLetter"/>
      <w:start w:val="9"/>
    </w:lvl>
  </w:abstractNum>
  <w:abstractNum w:abstractNumId="169">
    <w:nsid w:val="10DB9DAA"/>
    <w:multiLevelType w:val="hybridMultilevel"/>
    <w:lvl w:ilvl="0">
      <w:lvlJc w:val="left"/>
      <w:lvlText w:val="%1."/>
      <w:numFmt w:val="decimal"/>
      <w:start w:val="14"/>
    </w:lvl>
  </w:abstractNum>
  <w:abstractNum w:abstractNumId="170">
    <w:nsid w:val="697D2D2"/>
    <w:multiLevelType w:val="hybridMultilevel"/>
    <w:lvl w:ilvl="0">
      <w:lvlJc w:val="left"/>
      <w:lvlText w:val="(%1)"/>
      <w:numFmt w:val="lowerLetter"/>
      <w:start w:val="1"/>
    </w:lvl>
  </w:abstractNum>
  <w:abstractNum w:abstractNumId="171">
    <w:nsid w:val="6D68AB2"/>
    <w:multiLevelType w:val="hybridMultilevel"/>
    <w:lvl w:ilvl="0">
      <w:lvlJc w:val="left"/>
      <w:lvlText w:val="%1"/>
      <w:numFmt w:val="lowerLetter"/>
      <w:start w:val="1"/>
    </w:lvl>
    <w:lvl w:ilvl="1">
      <w:lvlJc w:val="left"/>
      <w:lvlText w:val="(%2)"/>
      <w:numFmt w:val="lowerRoman"/>
      <w:start w:val="1"/>
    </w:lvl>
  </w:abstractNum>
  <w:abstractNum w:abstractNumId="172">
    <w:nsid w:val="3A966CD0"/>
    <w:multiLevelType w:val="hybridMultilevel"/>
    <w:lvl w:ilvl="0">
      <w:lvlJc w:val="left"/>
      <w:lvlText w:val="(%1)"/>
      <w:numFmt w:val="lowerLetter"/>
      <w:start w:val="2"/>
    </w:lvl>
    <w:lvl w:ilvl="1">
      <w:lvlJc w:val="left"/>
      <w:lvlText w:val="(%2)"/>
      <w:numFmt w:val="lowerRoman"/>
      <w:start w:val="1"/>
    </w:lvl>
  </w:abstractNum>
  <w:abstractNum w:abstractNumId="173">
    <w:nsid w:val="63F37E85"/>
    <w:multiLevelType w:val="hybridMultilevel"/>
    <w:lvl w:ilvl="0">
      <w:lvlJc w:val="left"/>
      <w:lvlText w:val="(%1)"/>
      <w:numFmt w:val="lowerLetter"/>
      <w:start w:val="3"/>
    </w:lvl>
  </w:abstractNum>
  <w:abstractNum w:abstractNumId="174">
    <w:nsid w:val="5895F5FA"/>
    <w:multiLevelType w:val="hybridMultilevel"/>
    <w:lvl w:ilvl="0">
      <w:lvlJc w:val="left"/>
      <w:lvlText w:val="(%1)"/>
      <w:numFmt w:val="lowerLetter"/>
      <w:start w:val="1"/>
    </w:lvl>
  </w:abstractNum>
  <w:abstractNum w:abstractNumId="175">
    <w:nsid w:val="38A5D054"/>
    <w:multiLevelType w:val="hybridMultilevel"/>
    <w:lvl w:ilvl="0">
      <w:lvlJc w:val="left"/>
      <w:lvlText w:val="%1."/>
      <w:numFmt w:val="decimal"/>
      <w:start w:val="15"/>
    </w:lvl>
  </w:abstractNum>
  <w:abstractNum w:abstractNumId="176">
    <w:nsid w:val="F3F09D8"/>
    <w:multiLevelType w:val="hybridMultilevel"/>
    <w:lvl w:ilvl="0">
      <w:lvlJc w:val="left"/>
      <w:lvlText w:val="(%1)"/>
      <w:numFmt w:val="lowerLetter"/>
      <w:start w:val="1"/>
    </w:lvl>
  </w:abstractNum>
  <w:abstractNum w:abstractNumId="177">
    <w:nsid w:val="4B793735"/>
    <w:multiLevelType w:val="hybridMultilevel"/>
    <w:lvl w:ilvl="0">
      <w:lvlJc w:val="left"/>
      <w:lvlText w:val="%1"/>
      <w:numFmt w:val="lowerLetter"/>
      <w:start w:val="1"/>
    </w:lvl>
    <w:lvl w:ilvl="1">
      <w:lvlJc w:val="left"/>
      <w:lvlText w:val="(%2)"/>
      <w:numFmt w:val="lowerLetter"/>
      <w:start w:val="2"/>
    </w:lvl>
  </w:abstractNum>
  <w:abstractNum w:abstractNumId="178">
    <w:nsid w:val="4A10B4E8"/>
    <w:multiLevelType w:val="hybridMultilevel"/>
    <w:lvl w:ilvl="0">
      <w:lvlJc w:val="left"/>
      <w:lvlText w:val="(%1)"/>
      <w:numFmt w:val="lowerLetter"/>
      <w:start w:val="61"/>
    </w:lvl>
    <w:lvl w:ilvl="1">
      <w:lvlJc w:val="left"/>
      <w:lvlText w:val="%2"/>
      <w:numFmt w:val="lowerLetter"/>
      <w:start w:val="1"/>
    </w:lvl>
  </w:abstractNum>
  <w:abstractNum w:abstractNumId="179">
    <w:nsid w:val="43D3BCD4"/>
    <w:multiLevelType w:val="hybridMultilevel"/>
    <w:lvl w:ilvl="0">
      <w:lvlJc w:val="left"/>
      <w:lvlText w:val="%1"/>
      <w:numFmt w:val="upperLetter"/>
      <w:start w:val="1"/>
    </w:lvl>
    <w:lvl w:ilvl="1">
      <w:lvlJc w:val="left"/>
      <w:lvlText w:val="(%2)"/>
      <w:numFmt w:val="lowerLetter"/>
      <w:start w:val="1"/>
    </w:lvl>
  </w:abstractNum>
  <w:abstractNum w:abstractNumId="180">
    <w:nsid w:val="4C2A7166"/>
    <w:multiLevelType w:val="hybridMultilevel"/>
    <w:lvl w:ilvl="0">
      <w:lvlJc w:val="left"/>
      <w:lvlText w:val="(%1)"/>
      <w:numFmt w:val="upperLetter"/>
      <w:start w:val="2"/>
    </w:lvl>
    <w:lvl w:ilvl="1">
      <w:lvlJc w:val="left"/>
      <w:lvlText w:val="%2"/>
      <w:numFmt w:val="lowerLetter"/>
      <w:start w:val="1"/>
    </w:lvl>
  </w:abstractNum>
  <w:abstractNum w:abstractNumId="181">
    <w:nsid w:val="2E534A82"/>
    <w:multiLevelType w:val="hybridMultilevel"/>
    <w:lvl w:ilvl="0">
      <w:lvlJc w:val="left"/>
      <w:lvlText w:val="(%1)"/>
      <w:numFmt w:val="lowerLetter"/>
      <w:start w:val="1"/>
    </w:lvl>
  </w:abstractNum>
  <w:abstractNum w:abstractNumId="182">
    <w:nsid w:val="26F2D364"/>
    <w:multiLevelType w:val="hybridMultilevel"/>
    <w:lvl w:ilvl="0">
      <w:lvlJc w:val="left"/>
      <w:lvlText w:val="%1."/>
      <w:numFmt w:val="decimal"/>
      <w:start w:val="16"/>
    </w:lvl>
  </w:abstractNum>
  <w:abstractNum w:abstractNumId="183">
    <w:nsid w:val="71C1AF98"/>
    <w:multiLevelType w:val="hybridMultilevel"/>
    <w:lvl w:ilvl="0">
      <w:lvlJc w:val="left"/>
      <w:lvlText w:val="(%1)"/>
      <w:numFmt w:val="lowerLetter"/>
      <w:start w:val="1"/>
    </w:lvl>
    <w:lvl w:ilvl="1">
      <w:lvlJc w:val="left"/>
      <w:lvlText w:val="(%2)"/>
      <w:numFmt w:val="lowerRoman"/>
      <w:start w:val="1"/>
    </w:lvl>
  </w:abstractNum>
  <w:abstractNum w:abstractNumId="184">
    <w:nsid w:val="3D00B9D9"/>
    <w:multiLevelType w:val="hybridMultilevel"/>
    <w:lvl w:ilvl="0">
      <w:lvlJc w:val="left"/>
      <w:lvlText w:val="(%1)"/>
      <w:numFmt w:val="lowerLetter"/>
      <w:start w:val="3"/>
    </w:lvl>
  </w:abstractNum>
  <w:abstractNum w:abstractNumId="185">
    <w:nsid w:val="15BCABA8"/>
    <w:multiLevelType w:val="hybridMultilevel"/>
    <w:lvl w:ilvl="0">
      <w:lvlJc w:val="left"/>
      <w:lvlText w:val="(%1)"/>
      <w:numFmt w:val="lowerLetter"/>
      <w:start w:val="1"/>
    </w:lvl>
  </w:abstractNum>
  <w:abstractNum w:abstractNumId="186">
    <w:nsid w:val="4E0B9A87"/>
    <w:multiLevelType w:val="hybridMultilevel"/>
    <w:lvl w:ilvl="0">
      <w:lvlJc w:val="left"/>
      <w:lvlText w:val="(%1)"/>
      <w:numFmt w:val="lowerLetter"/>
      <w:start w:val="2"/>
    </w:lvl>
  </w:abstractNum>
  <w:abstractNum w:abstractNumId="187">
    <w:nsid w:val="434BAE75"/>
    <w:multiLevelType w:val="hybridMultilevel"/>
    <w:lvl w:ilvl="0">
      <w:lvlJc w:val="left"/>
      <w:lvlText w:val="%1."/>
      <w:numFmt w:val="decimal"/>
      <w:start w:val="17"/>
    </w:lvl>
  </w:abstractNum>
  <w:abstractNum w:abstractNumId="188">
    <w:nsid w:val="4F38F265"/>
    <w:multiLevelType w:val="hybridMultilevel"/>
    <w:lvl w:ilvl="0">
      <w:lvlJc w:val="left"/>
      <w:lvlText w:val="(%1)"/>
      <w:numFmt w:val="lowerLetter"/>
      <w:start w:val="1"/>
    </w:lvl>
  </w:abstractNum>
  <w:abstractNum w:abstractNumId="189">
    <w:nsid w:val="4C502870"/>
    <w:multiLevelType w:val="hybridMultilevel"/>
    <w:lvl w:ilvl="0">
      <w:lvlJc w:val="left"/>
      <w:lvlText w:val="(%1)"/>
      <w:numFmt w:val="lowerLetter"/>
      <w:start w:val="2"/>
    </w:lvl>
  </w:abstractNum>
  <w:abstractNum w:abstractNumId="190">
    <w:nsid w:val="1DE8725A"/>
    <w:multiLevelType w:val="hybridMultilevel"/>
    <w:lvl w:ilvl="0">
      <w:lvlJc w:val="left"/>
      <w:lvlText w:val="%1"/>
      <w:numFmt w:val="lowerLetter"/>
      <w:start w:val="1"/>
    </w:lvl>
    <w:lvl w:ilvl="1">
      <w:lvlJc w:val="left"/>
      <w:lvlText w:val="(%2)"/>
      <w:numFmt w:val="lowerLetter"/>
      <w:start w:val="1"/>
    </w:lvl>
  </w:abstractNum>
  <w:abstractNum w:abstractNumId="191">
    <w:nsid w:val="6A37288A"/>
    <w:multiLevelType w:val="hybridMultilevel"/>
    <w:lvl w:ilvl="0">
      <w:lvlJc w:val="left"/>
      <w:lvlText w:val="(%1)"/>
      <w:numFmt w:val="lowerLetter"/>
      <w:start w:val="24"/>
    </w:lvl>
    <w:lvl w:ilvl="1">
      <w:lvlJc w:val="left"/>
      <w:lvlText w:val="%2"/>
      <w:numFmt w:val="lowerLetter"/>
      <w:start w:val="1"/>
    </w:lvl>
  </w:abstractNum>
  <w:abstractNum w:abstractNumId="192">
    <w:nsid w:val="8F8B73F"/>
    <w:multiLevelType w:val="hybridMultilevel"/>
    <w:lvl w:ilvl="0">
      <w:lvlJc w:val="left"/>
      <w:lvlText w:val="(%1)"/>
      <w:numFmt w:val="lowerLetter"/>
      <w:start w:val="2"/>
    </w:lvl>
  </w:abstractNum>
  <w:abstractNum w:abstractNumId="193">
    <w:nsid w:val="CA6B462"/>
    <w:multiLevelType w:val="hybridMultilevel"/>
    <w:lvl w:ilvl="0">
      <w:lvlJc w:val="left"/>
      <w:lvlText w:val="(%1)"/>
      <w:numFmt w:val="lowerLetter"/>
      <w:start w:val="1"/>
    </w:lvl>
    <w:lvl w:ilvl="1">
      <w:lvlJc w:val="left"/>
      <w:lvlText w:val="(%2)"/>
      <w:numFmt w:val="lowerRoman"/>
      <w:start w:val="1"/>
    </w:lvl>
  </w:abstractNum>
  <w:abstractNum w:abstractNumId="194">
    <w:nsid w:val="763CB680"/>
    <w:multiLevelType w:val="hybridMultilevel"/>
    <w:lvl w:ilvl="0">
      <w:lvlJc w:val="left"/>
      <w:lvlText w:val="(%1)"/>
      <w:numFmt w:val="lowerLetter"/>
      <w:start w:val="1"/>
    </w:lvl>
  </w:abstractNum>
  <w:abstractNum w:abstractNumId="195">
    <w:nsid w:val="15B71329"/>
    <w:multiLevelType w:val="hybridMultilevel"/>
    <w:lvl w:ilvl="0">
      <w:lvlJc w:val="left"/>
      <w:lvlText w:val="(%1)"/>
      <w:numFmt w:val="upperLetter"/>
      <w:start w:val="1"/>
    </w:lvl>
  </w:abstractNum>
  <w:abstractNum w:abstractNumId="196">
    <w:nsid w:val="3DA97044"/>
    <w:multiLevelType w:val="hybridMultilevel"/>
    <w:lvl w:ilvl="0">
      <w:lvlJc w:val="left"/>
      <w:lvlText w:val="(%1)"/>
      <w:numFmt w:val="upperLetter"/>
      <w:start w:val="2"/>
    </w:lvl>
  </w:abstractNum>
  <w:abstractNum w:abstractNumId="197">
    <w:nsid w:val="1CDCE2DE"/>
    <w:multiLevelType w:val="hybridMultilevel"/>
    <w:lvl w:ilvl="0">
      <w:lvlJc w:val="left"/>
      <w:lvlText w:val="(%1)"/>
      <w:numFmt w:val="lowerLetter"/>
      <w:start w:val="1"/>
    </w:lvl>
    <w:lvl w:ilvl="1">
      <w:lvlJc w:val="left"/>
      <w:lvlText w:val="(%2)"/>
      <w:numFmt w:val="lowerLetter"/>
      <w:start w:val="9"/>
    </w:lvl>
  </w:abstractNum>
  <w:abstractNum w:abstractNumId="198">
    <w:nsid w:val="69D3947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99">
    <w:nsid w:val="2539DFA5"/>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200">
    <w:nsid w:val="2DB88089"/>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1"/>
    </w:lvl>
  </w:abstractNum>
  <w:abstractNum w:abstractNumId="201">
    <w:nsid w:val="706B674E"/>
    <w:multiLevelType w:val="hybridMultilevel"/>
    <w:lvl w:ilvl="0">
      <w:lvlJc w:val="left"/>
      <w:lvlText w:val="(%1)"/>
      <w:numFmt w:val="lowerRoman"/>
      <w:start w:val="1"/>
    </w:lvl>
  </w:abstractNum>
  <w:abstractNum w:abstractNumId="202">
    <w:nsid w:val="2C106A57"/>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203">
    <w:nsid w:val="684EED59"/>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204">
    <w:nsid w:val="545EE5D3"/>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205">
    <w:nsid w:val="4A66051"/>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206">
    <w:nsid w:val="20F4BDAD"/>
    <w:multiLevelType w:val="hybridMultilevel"/>
    <w:lvl w:ilvl="0">
      <w:lvlJc w:val="left"/>
      <w:lvlText w:val="(%1)"/>
      <w:numFmt w:val="lowerLetter"/>
      <w:start w:val="1"/>
    </w:lvl>
  </w:abstractNum>
  <w:abstractNum w:abstractNumId="207">
    <w:nsid w:val="639DEFAC"/>
    <w:multiLevelType w:val="hybridMultilevel"/>
    <w:lvl w:ilvl="0">
      <w:lvlJc w:val="left"/>
      <w:lvlText w:val="(%1)"/>
      <w:numFmt w:val="upperLetter"/>
      <w:start w:val="1"/>
    </w:lvl>
  </w:abstractNum>
  <w:abstractNum w:abstractNumId="208">
    <w:nsid w:val="501F9786"/>
    <w:multiLevelType w:val="hybridMultilevel"/>
    <w:lvl w:ilvl="0">
      <w:lvlJc w:val="left"/>
      <w:lvlText w:val="(%1)"/>
      <w:numFmt w:val="upperLetter"/>
      <w:start w:val="1"/>
    </w:lvl>
    <w:lvl w:ilvl="1">
      <w:lvlJc w:val="left"/>
      <w:lvlText w:val="(%2)"/>
      <w:numFmt w:val="lowerRoman"/>
      <w:start w:val="1"/>
    </w:lvl>
  </w:abstractNum>
  <w:abstractNum w:abstractNumId="209">
    <w:nsid w:val="6B057295"/>
    <w:multiLevelType w:val="hybridMultilevel"/>
    <w:lvl w:ilvl="0">
      <w:lvlJc w:val="left"/>
      <w:lvlText w:val="%1"/>
      <w:numFmt w:val="upperLetter"/>
      <w:start w:val="1"/>
    </w:lvl>
    <w:lvl w:ilvl="1">
      <w:lvlJc w:val="left"/>
      <w:lvlText w:val="(%2)"/>
      <w:numFmt w:val="lowerRoman"/>
      <w:start w:val="2"/>
    </w:lvl>
  </w:abstractNum>
  <w:abstractNum w:abstractNumId="210">
    <w:nsid w:val="2771AC80"/>
    <w:multiLevelType w:val="hybridMultilevel"/>
    <w:lvl w:ilvl="0">
      <w:lvlJc w:val="left"/>
      <w:lvlText w:val="(%1)"/>
      <w:numFmt w:val="upperLetter"/>
      <w:start w:val="2"/>
    </w:lvl>
    <w:lvl w:ilvl="1">
      <w:lvlJc w:val="left"/>
      <w:lvlText w:val="(%2)"/>
      <w:numFmt w:val="lowerRoman"/>
      <w:start w:val="1"/>
    </w:lvl>
  </w:abstractNum>
  <w:abstractNum w:abstractNumId="211">
    <w:nsid w:val="1C4A08EC"/>
    <w:multiLevelType w:val="hybridMultilevel"/>
    <w:lvl w:ilvl="0">
      <w:lvlJc w:val="left"/>
      <w:lvlText w:val="(%1)"/>
      <w:numFmt w:val="upperLetter"/>
      <w:start w:val="1"/>
    </w:lvl>
  </w:abstractNum>
  <w:abstractNum w:abstractNumId="212">
    <w:nsid w:val="1958BD17"/>
    <w:multiLevelType w:val="hybridMultilevel"/>
    <w:lvl w:ilvl="0">
      <w:lvlJc w:val="left"/>
      <w:lvlText w:val="(%1)"/>
      <w:numFmt w:val="upperLetter"/>
      <w:start w:val="2"/>
    </w:lvl>
  </w:abstractNum>
  <w:abstractNum w:abstractNumId="213">
    <w:nsid w:val="4E647FE4"/>
    <w:multiLevelType w:val="hybridMultilevel"/>
    <w:lvl w:ilvl="0">
      <w:lvlJc w:val="left"/>
      <w:lvlText w:val="(%1)"/>
      <w:numFmt w:val="lowerRoman"/>
      <w:start w:val="1"/>
    </w:lvl>
  </w:abstractNum>
  <w:abstractNum w:abstractNumId="214">
    <w:nsid w:val="E0BB885"/>
    <w:multiLevelType w:val="hybridMultilevel"/>
    <w:lvl w:ilvl="0">
      <w:lvlJc w:val="left"/>
      <w:lvlText w:val="(%1)"/>
      <w:numFmt w:val="upperLetter"/>
      <w:start w:val="1"/>
    </w:lvl>
  </w:abstractNum>
  <w:abstractNum w:abstractNumId="215">
    <w:nsid w:val="565976F1"/>
    <w:multiLevelType w:val="hybridMultilevel"/>
    <w:lvl w:ilvl="0">
      <w:lvlJc w:val="left"/>
      <w:lvlText w:val="(%1)"/>
      <w:numFmt w:val="upperLetter"/>
      <w:start w:val="4"/>
    </w:lvl>
  </w:abstractNum>
  <w:abstractNum w:abstractNumId="216">
    <w:nsid w:val="64212B8C"/>
    <w:multiLevelType w:val="hybridMultilevel"/>
    <w:lvl w:ilvl="0">
      <w:lvlJc w:val="left"/>
      <w:lvlText w:val="%1"/>
      <w:numFmt w:val="decimal"/>
      <w:start w:val="1"/>
    </w:lvl>
    <w:lvl w:ilvl="1">
      <w:lvlJc w:val="left"/>
      <w:lvlText w:val="(%2)"/>
      <w:numFmt w:val="upperLetter"/>
      <w:start w:val="10"/>
    </w:lvl>
  </w:abstractNum>
  <w:abstractNum w:abstractNumId="217">
    <w:nsid w:val="5C17530C"/>
    <w:multiLevelType w:val="hybridMultilevel"/>
    <w:lvl w:ilvl="0">
      <w:lvlJc w:val="left"/>
      <w:lvlText w:val="(%1)"/>
      <w:numFmt w:val="decimal"/>
      <w:start w:val="1"/>
    </w:lvl>
    <w:lvl w:ilvl="1">
      <w:lvlJc w:val="left"/>
      <w:lvlText w:val="(%2)"/>
      <w:numFmt w:val="upperLetter"/>
      <w:start w:val="11"/>
    </w:lvl>
  </w:abstractNum>
  <w:abstractNum w:abstractNumId="218">
    <w:nsid w:val="19A52566"/>
    <w:multiLevelType w:val="hybridMultilevel"/>
    <w:lvl w:ilvl="0">
      <w:lvlJc w:val="left"/>
      <w:lvlText w:val="(%1)"/>
      <w:numFmt w:val="upperLetter"/>
      <w:start w:val="15"/>
    </w:lvl>
  </w:abstractNum>
  <w:abstractNum w:abstractNumId="219">
    <w:nsid w:val="335A1DF1"/>
    <w:multiLevelType w:val="hybridMultilevel"/>
    <w:lvl w:ilvl="0">
      <w:lvlJc w:val="left"/>
      <w:lvlText w:val="(%1)"/>
      <w:numFmt w:val="upperLetter"/>
      <w:start w:val="1"/>
    </w:lvl>
  </w:abstractNum>
  <w:abstractNum w:abstractNumId="220">
    <w:nsid w:val="28677B7C"/>
    <w:multiLevelType w:val="hybridMultilevel"/>
    <w:lvl w:ilvl="0">
      <w:lvlJc w:val="left"/>
      <w:lvlText w:val="%1."/>
      <w:numFmt w:val="decimal"/>
      <w:start w:val="1"/>
    </w:lvl>
    <w:lvl w:ilvl="1">
      <w:lvlJc w:val="left"/>
      <w:lvlText w:val="(%2)"/>
      <w:numFmt w:val="lowerLetter"/>
      <w:start w:val="1"/>
    </w:lvl>
  </w:abstractNum>
  <w:abstractNum w:abstractNumId="221">
    <w:nsid w:val="378D97C0"/>
    <w:multiLevelType w:val="hybridMultilevel"/>
    <w:lvl w:ilvl="0">
      <w:lvlJc w:val="left"/>
      <w:lvlText w:val="%1."/>
      <w:numFmt w:val="decimal"/>
      <w:start w:val="1"/>
    </w:lvl>
    <w:lvl w:ilvl="1">
      <w:lvlJc w:val="left"/>
      <w:lvlText w:val="(%2)"/>
      <w:numFmt w:val="lowerLetter"/>
      <w:start w:val="1"/>
    </w:lvl>
  </w:abstractNum>
  <w:abstractNum w:abstractNumId="222">
    <w:nsid w:val="1D91467C"/>
    <w:multiLevelType w:val="hybridMultilevel"/>
    <w:lvl w:ilvl="0">
      <w:lvlJc w:val="left"/>
      <w:lvlText w:val="(%1)"/>
      <w:numFmt w:val="decimal"/>
      <w:start w:val="1"/>
    </w:lvl>
  </w:abstractNum>
  <w:abstractNum w:abstractNumId="223">
    <w:nsid w:val="316032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jpeg"/><Relationship Id="rId121" Type="http://schemas.openxmlformats.org/officeDocument/2006/relationships/image" Target="media/image91.png"/><Relationship Id="rId122" Type="http://schemas.openxmlformats.org/officeDocument/2006/relationships/image" Target="media/image92.jpeg"/><Relationship Id="rId123" Type="http://schemas.openxmlformats.org/officeDocument/2006/relationships/image" Target="media/image93.png"/><Relationship Id="rId124" Type="http://schemas.openxmlformats.org/officeDocument/2006/relationships/image" Target="media/image94.jpe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jpeg"/><Relationship Id="rId129" Type="http://schemas.openxmlformats.org/officeDocument/2006/relationships/image" Target="media/image99.jpeg"/><Relationship Id="rId130" Type="http://schemas.openxmlformats.org/officeDocument/2006/relationships/image" Target="media/image100.png"/><Relationship Id="rId131" Type="http://schemas.openxmlformats.org/officeDocument/2006/relationships/image" Target="media/image101.jpeg"/><Relationship Id="rId132" Type="http://schemas.openxmlformats.org/officeDocument/2006/relationships/image" Target="media/image102.png"/><Relationship Id="rId133" Type="http://schemas.openxmlformats.org/officeDocument/2006/relationships/image" Target="media/image103.jpeg"/><Relationship Id="rId134" Type="http://schemas.openxmlformats.org/officeDocument/2006/relationships/image" Target="media/image104.jpeg"/><Relationship Id="rId135" Type="http://schemas.openxmlformats.org/officeDocument/2006/relationships/image" Target="media/image105.jpeg"/><Relationship Id="rId136" Type="http://schemas.openxmlformats.org/officeDocument/2006/relationships/image" Target="media/image106.png"/><Relationship Id="rId137" Type="http://schemas.openxmlformats.org/officeDocument/2006/relationships/image" Target="media/image107.jpeg"/><Relationship Id="rId138" Type="http://schemas.openxmlformats.org/officeDocument/2006/relationships/image" Target="media/image108.png"/><Relationship Id="rId139" Type="http://schemas.openxmlformats.org/officeDocument/2006/relationships/image" Target="media/image109.jpe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jpeg"/><Relationship Id="rId144" Type="http://schemas.openxmlformats.org/officeDocument/2006/relationships/image" Target="media/image114.jpeg"/><Relationship Id="rId145" Type="http://schemas.openxmlformats.org/officeDocument/2006/relationships/image" Target="media/image115.png"/><Relationship Id="rId146" Type="http://schemas.openxmlformats.org/officeDocument/2006/relationships/image" Target="media/image116.jpeg"/><Relationship Id="rId147" Type="http://schemas.openxmlformats.org/officeDocument/2006/relationships/image" Target="media/image117.png"/><Relationship Id="rId148" Type="http://schemas.openxmlformats.org/officeDocument/2006/relationships/image" Target="media/image118.jpe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jpeg"/><Relationship Id="rId153" Type="http://schemas.openxmlformats.org/officeDocument/2006/relationships/image" Target="media/image123.jpeg"/><Relationship Id="rId154" Type="http://schemas.openxmlformats.org/officeDocument/2006/relationships/image" Target="media/image124.png"/><Relationship Id="rId155" Type="http://schemas.openxmlformats.org/officeDocument/2006/relationships/image" Target="media/image125.jpeg"/><Relationship Id="rId156" Type="http://schemas.openxmlformats.org/officeDocument/2006/relationships/image" Target="media/image126.png"/><Relationship Id="rId157" Type="http://schemas.openxmlformats.org/officeDocument/2006/relationships/image" Target="media/image127.jpe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jpeg"/><Relationship Id="rId162" Type="http://schemas.openxmlformats.org/officeDocument/2006/relationships/image" Target="media/image132.jpeg"/><Relationship Id="rId163" Type="http://schemas.openxmlformats.org/officeDocument/2006/relationships/image" Target="media/image133.png"/><Relationship Id="rId164" Type="http://schemas.openxmlformats.org/officeDocument/2006/relationships/image" Target="media/image134.jpeg"/><Relationship Id="rId165" Type="http://schemas.openxmlformats.org/officeDocument/2006/relationships/image" Target="media/image135.png"/><Relationship Id="rId166" Type="http://schemas.openxmlformats.org/officeDocument/2006/relationships/image" Target="media/image136.jpe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jpeg"/><Relationship Id="rId171" Type="http://schemas.openxmlformats.org/officeDocument/2006/relationships/image" Target="media/image141.jpeg"/><Relationship Id="rId172" Type="http://schemas.openxmlformats.org/officeDocument/2006/relationships/image" Target="media/image142.png"/><Relationship Id="rId173" Type="http://schemas.openxmlformats.org/officeDocument/2006/relationships/image" Target="media/image143.jpeg"/><Relationship Id="rId174" Type="http://schemas.openxmlformats.org/officeDocument/2006/relationships/image" Target="media/image144.png"/><Relationship Id="rId175" Type="http://schemas.openxmlformats.org/officeDocument/2006/relationships/image" Target="media/image145.jpe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jpe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jpe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pn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290" Type="http://schemas.openxmlformats.org/officeDocument/2006/relationships/image" Target="media/image260.png"/><Relationship Id="rId291" Type="http://schemas.openxmlformats.org/officeDocument/2006/relationships/image" Target="media/image261.png"/><Relationship Id="rId292" Type="http://schemas.openxmlformats.org/officeDocument/2006/relationships/image" Target="media/image262.png"/><Relationship Id="rId293" Type="http://schemas.openxmlformats.org/officeDocument/2006/relationships/image" Target="media/image263.png"/><Relationship Id="rId294" Type="http://schemas.openxmlformats.org/officeDocument/2006/relationships/image" Target="media/image264.png"/><Relationship Id="rId295" Type="http://schemas.openxmlformats.org/officeDocument/2006/relationships/image" Target="media/image265.png"/><Relationship Id="rId296" Type="http://schemas.openxmlformats.org/officeDocument/2006/relationships/image" Target="media/image266.png"/><Relationship Id="rId297" Type="http://schemas.openxmlformats.org/officeDocument/2006/relationships/image" Target="media/image267.png"/><Relationship Id="rId298" Type="http://schemas.openxmlformats.org/officeDocument/2006/relationships/image" Target="media/image268.png"/><Relationship Id="rId299" Type="http://schemas.openxmlformats.org/officeDocument/2006/relationships/image" Target="media/image269.png"/><Relationship Id="rId300" Type="http://schemas.openxmlformats.org/officeDocument/2006/relationships/image" Target="media/image270.png"/><Relationship Id="rId301" Type="http://schemas.openxmlformats.org/officeDocument/2006/relationships/image" Target="media/image271.png"/><Relationship Id="rId302" Type="http://schemas.openxmlformats.org/officeDocument/2006/relationships/image" Target="media/image272.png"/><Relationship Id="rId303" Type="http://schemas.openxmlformats.org/officeDocument/2006/relationships/image" Target="media/image273.png"/><Relationship Id="rId304" Type="http://schemas.openxmlformats.org/officeDocument/2006/relationships/image" Target="media/image274.png"/><Relationship Id="rId305" Type="http://schemas.openxmlformats.org/officeDocument/2006/relationships/image" Target="media/image275.png"/><Relationship Id="rId306" Type="http://schemas.openxmlformats.org/officeDocument/2006/relationships/image" Target="media/image276.png"/><Relationship Id="rId307" Type="http://schemas.openxmlformats.org/officeDocument/2006/relationships/image" Target="media/image277.png"/><Relationship Id="rId308" Type="http://schemas.openxmlformats.org/officeDocument/2006/relationships/image" Target="media/image278.png"/><Relationship Id="rId309" Type="http://schemas.openxmlformats.org/officeDocument/2006/relationships/image" Target="media/image279.png"/><Relationship Id="rId310" Type="http://schemas.openxmlformats.org/officeDocument/2006/relationships/image" Target="media/image280.png"/><Relationship Id="rId311" Type="http://schemas.openxmlformats.org/officeDocument/2006/relationships/image" Target="media/image281.png"/><Relationship Id="rId312" Type="http://schemas.openxmlformats.org/officeDocument/2006/relationships/image" Target="media/image282.png"/><Relationship Id="rId313" Type="http://schemas.openxmlformats.org/officeDocument/2006/relationships/image" Target="media/image283.png"/><Relationship Id="rId314" Type="http://schemas.openxmlformats.org/officeDocument/2006/relationships/image" Target="media/image284.png"/><Relationship Id="rId315" Type="http://schemas.openxmlformats.org/officeDocument/2006/relationships/image" Target="media/image285.png"/><Relationship Id="rId316" Type="http://schemas.openxmlformats.org/officeDocument/2006/relationships/image" Target="media/image286.png"/><Relationship Id="rId317" Type="http://schemas.openxmlformats.org/officeDocument/2006/relationships/image" Target="media/image287.png"/><Relationship Id="rId318" Type="http://schemas.openxmlformats.org/officeDocument/2006/relationships/image" Target="media/image288.png"/><Relationship Id="rId319" Type="http://schemas.openxmlformats.org/officeDocument/2006/relationships/image" Target="media/image289.png"/><Relationship Id="rId320" Type="http://schemas.openxmlformats.org/officeDocument/2006/relationships/image" Target="media/image290.png"/><Relationship Id="rId321" Type="http://schemas.openxmlformats.org/officeDocument/2006/relationships/image" Target="media/image291.png"/><Relationship Id="rId322" Type="http://schemas.openxmlformats.org/officeDocument/2006/relationships/image" Target="media/image292.png"/><Relationship Id="rId323" Type="http://schemas.openxmlformats.org/officeDocument/2006/relationships/image" Target="media/image293.png"/><Relationship Id="rId324" Type="http://schemas.openxmlformats.org/officeDocument/2006/relationships/image" Target="media/image294.png"/><Relationship Id="rId325" Type="http://schemas.openxmlformats.org/officeDocument/2006/relationships/image" Target="media/image295.png"/><Relationship Id="rId326" Type="http://schemas.openxmlformats.org/officeDocument/2006/relationships/image" Target="media/image296.png"/><Relationship Id="rId327" Type="http://schemas.openxmlformats.org/officeDocument/2006/relationships/image" Target="media/image297.png"/><Relationship Id="rId328" Type="http://schemas.openxmlformats.org/officeDocument/2006/relationships/image" Target="media/image298.png"/><Relationship Id="rId329"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332" Type="http://schemas.openxmlformats.org/officeDocument/2006/relationships/image" Target="media/image302.png"/><Relationship Id="rId333" Type="http://schemas.openxmlformats.org/officeDocument/2006/relationships/image" Target="media/image303.png"/><Relationship Id="rId334" Type="http://schemas.openxmlformats.org/officeDocument/2006/relationships/image" Target="media/image304.png"/><Relationship Id="rId335" Type="http://schemas.openxmlformats.org/officeDocument/2006/relationships/image" Target="media/image305.png"/><Relationship Id="rId336" Type="http://schemas.openxmlformats.org/officeDocument/2006/relationships/image" Target="media/image306.png"/><Relationship Id="rId337" Type="http://schemas.openxmlformats.org/officeDocument/2006/relationships/image" Target="media/image307.png"/><Relationship Id="rId338" Type="http://schemas.openxmlformats.org/officeDocument/2006/relationships/image" Target="media/image308.png"/><Relationship Id="rId339" Type="http://schemas.openxmlformats.org/officeDocument/2006/relationships/image" Target="media/image309.png"/><Relationship Id="rId340" Type="http://schemas.openxmlformats.org/officeDocument/2006/relationships/image" Target="media/image310.png"/><Relationship Id="rId341" Type="http://schemas.openxmlformats.org/officeDocument/2006/relationships/image" Target="media/image311.png"/><Relationship Id="rId342" Type="http://schemas.openxmlformats.org/officeDocument/2006/relationships/image" Target="media/image312.png"/><Relationship Id="rId343" Type="http://schemas.openxmlformats.org/officeDocument/2006/relationships/image" Target="media/image313.png"/><Relationship Id="rId344" Type="http://schemas.openxmlformats.org/officeDocument/2006/relationships/image" Target="media/image314.png"/><Relationship Id="rId345" Type="http://schemas.openxmlformats.org/officeDocument/2006/relationships/image" Target="media/image315.png"/><Relationship Id="rId346" Type="http://schemas.openxmlformats.org/officeDocument/2006/relationships/image" Target="media/image316.png"/><Relationship Id="rId347" Type="http://schemas.openxmlformats.org/officeDocument/2006/relationships/image" Target="media/image317.png"/><Relationship Id="rId348" Type="http://schemas.openxmlformats.org/officeDocument/2006/relationships/image" Target="media/image318.png"/><Relationship Id="rId349" Type="http://schemas.openxmlformats.org/officeDocument/2006/relationships/image" Target="media/image319.png"/><Relationship Id="rId350" Type="http://schemas.openxmlformats.org/officeDocument/2006/relationships/image" Target="media/image320.png"/><Relationship Id="rId351" Type="http://schemas.openxmlformats.org/officeDocument/2006/relationships/image" Target="media/image321.png"/><Relationship Id="rId352" Type="http://schemas.openxmlformats.org/officeDocument/2006/relationships/image" Target="media/image322.png"/><Relationship Id="rId353" Type="http://schemas.openxmlformats.org/officeDocument/2006/relationships/image" Target="media/image323.png"/><Relationship Id="rId354" Type="http://schemas.openxmlformats.org/officeDocument/2006/relationships/image" Target="media/image324.png"/><Relationship Id="rId355" Type="http://schemas.openxmlformats.org/officeDocument/2006/relationships/image" Target="media/image325.png"/><Relationship Id="rId356" Type="http://schemas.openxmlformats.org/officeDocument/2006/relationships/image" Target="media/image326.png"/><Relationship Id="rId357" Type="http://schemas.openxmlformats.org/officeDocument/2006/relationships/image" Target="media/image327.png"/><Relationship Id="rId358" Type="http://schemas.openxmlformats.org/officeDocument/2006/relationships/image" Target="media/image328.png"/><Relationship Id="rId359" Type="http://schemas.openxmlformats.org/officeDocument/2006/relationships/image" Target="media/image329.png"/><Relationship Id="rId360" Type="http://schemas.openxmlformats.org/officeDocument/2006/relationships/image" Target="media/image330.png"/><Relationship Id="rId361" Type="http://schemas.openxmlformats.org/officeDocument/2006/relationships/image" Target="media/image331.png"/><Relationship Id="rId362" Type="http://schemas.openxmlformats.org/officeDocument/2006/relationships/image" Target="media/image332.png"/><Relationship Id="rId363" Type="http://schemas.openxmlformats.org/officeDocument/2006/relationships/image" Target="media/image333.png"/><Relationship Id="rId364" Type="http://schemas.openxmlformats.org/officeDocument/2006/relationships/image" Target="media/image334.png"/><Relationship Id="rId365" Type="http://schemas.openxmlformats.org/officeDocument/2006/relationships/image" Target="media/image335.png"/><Relationship Id="rId366" Type="http://schemas.openxmlformats.org/officeDocument/2006/relationships/image" Target="media/image336.png"/><Relationship Id="rId367" Type="http://schemas.openxmlformats.org/officeDocument/2006/relationships/image" Target="media/image337.png"/><Relationship Id="rId368" Type="http://schemas.openxmlformats.org/officeDocument/2006/relationships/image" Target="media/image338.png"/><Relationship Id="rId369" Type="http://schemas.openxmlformats.org/officeDocument/2006/relationships/image" Target="media/image339.png"/><Relationship Id="rId370" Type="http://schemas.openxmlformats.org/officeDocument/2006/relationships/image" Target="media/image340.png"/><Relationship Id="rId371" Type="http://schemas.openxmlformats.org/officeDocument/2006/relationships/image" Target="media/image341.png"/><Relationship Id="rId372" Type="http://schemas.openxmlformats.org/officeDocument/2006/relationships/image" Target="media/image342.png"/><Relationship Id="rId373" Type="http://schemas.openxmlformats.org/officeDocument/2006/relationships/image" Target="media/image343.png"/><Relationship Id="rId374" Type="http://schemas.openxmlformats.org/officeDocument/2006/relationships/image" Target="media/image344.png"/><Relationship Id="rId375"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png"/><Relationship Id="rId379" Type="http://schemas.openxmlformats.org/officeDocument/2006/relationships/image" Target="media/image349.png"/><Relationship Id="rId380" Type="http://schemas.openxmlformats.org/officeDocument/2006/relationships/image" Target="media/image350.png"/><Relationship Id="rId381" Type="http://schemas.openxmlformats.org/officeDocument/2006/relationships/image" Target="media/image351.png"/><Relationship Id="rId382" Type="http://schemas.openxmlformats.org/officeDocument/2006/relationships/image" Target="media/image352.png"/><Relationship Id="rId383" Type="http://schemas.openxmlformats.org/officeDocument/2006/relationships/image" Target="media/image353.png"/><Relationship Id="rId384" Type="http://schemas.openxmlformats.org/officeDocument/2006/relationships/image" Target="media/image354.png"/><Relationship Id="rId385" Type="http://schemas.openxmlformats.org/officeDocument/2006/relationships/image" Target="media/image355.png"/><Relationship Id="rId386" Type="http://schemas.openxmlformats.org/officeDocument/2006/relationships/image" Target="media/image356.png"/><Relationship Id="rId387"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390" Type="http://schemas.openxmlformats.org/officeDocument/2006/relationships/image" Target="media/image360.png"/><Relationship Id="rId391" Type="http://schemas.openxmlformats.org/officeDocument/2006/relationships/image" Target="media/image361.png"/><Relationship Id="rId392" Type="http://schemas.openxmlformats.org/officeDocument/2006/relationships/image" Target="media/image362.png"/><Relationship Id="rId393" Type="http://schemas.openxmlformats.org/officeDocument/2006/relationships/image" Target="media/image363.png"/><Relationship Id="rId394" Type="http://schemas.openxmlformats.org/officeDocument/2006/relationships/image" Target="media/image364.png"/><Relationship Id="rId395" Type="http://schemas.openxmlformats.org/officeDocument/2006/relationships/image" Target="media/image365.png"/><Relationship Id="rId396" Type="http://schemas.openxmlformats.org/officeDocument/2006/relationships/image" Target="media/image366.png"/><Relationship Id="rId397" Type="http://schemas.openxmlformats.org/officeDocument/2006/relationships/image" Target="media/image367.png"/><Relationship Id="rId398" Type="http://schemas.openxmlformats.org/officeDocument/2006/relationships/image" Target="media/image368.png"/><Relationship Id="rId399" Type="http://schemas.openxmlformats.org/officeDocument/2006/relationships/image" Target="media/image369.png"/><Relationship Id="rId400" Type="http://schemas.openxmlformats.org/officeDocument/2006/relationships/image" Target="media/image370.png"/><Relationship Id="rId401" Type="http://schemas.openxmlformats.org/officeDocument/2006/relationships/image" Target="media/image371.png"/><Relationship Id="rId402" Type="http://schemas.openxmlformats.org/officeDocument/2006/relationships/image" Target="media/image372.png"/><Relationship Id="rId403" Type="http://schemas.openxmlformats.org/officeDocument/2006/relationships/image" Target="media/image373.png"/><Relationship Id="rId404" Type="http://schemas.openxmlformats.org/officeDocument/2006/relationships/image" Target="media/image374.png"/><Relationship Id="rId405" Type="http://schemas.openxmlformats.org/officeDocument/2006/relationships/image" Target="media/image375.png"/><Relationship Id="rId406" Type="http://schemas.openxmlformats.org/officeDocument/2006/relationships/image" Target="media/image376.png"/><Relationship Id="rId407" Type="http://schemas.openxmlformats.org/officeDocument/2006/relationships/image" Target="media/image377.png"/><Relationship Id="rId408" Type="http://schemas.openxmlformats.org/officeDocument/2006/relationships/image" Target="media/image378.png"/><Relationship Id="rId409" Type="http://schemas.openxmlformats.org/officeDocument/2006/relationships/image" Target="media/image379.png"/><Relationship Id="rId410" Type="http://schemas.openxmlformats.org/officeDocument/2006/relationships/image" Target="media/image380.png"/><Relationship Id="rId411" Type="http://schemas.openxmlformats.org/officeDocument/2006/relationships/image" Target="media/image381.png"/><Relationship Id="rId412" Type="http://schemas.openxmlformats.org/officeDocument/2006/relationships/image" Target="media/image382.png"/><Relationship Id="rId413" Type="http://schemas.openxmlformats.org/officeDocument/2006/relationships/image" Target="media/image383.png"/><Relationship Id="rId414" Type="http://schemas.openxmlformats.org/officeDocument/2006/relationships/image" Target="media/image384.png"/><Relationship Id="rId415" Type="http://schemas.openxmlformats.org/officeDocument/2006/relationships/image" Target="media/image385.png"/><Relationship Id="rId416" Type="http://schemas.openxmlformats.org/officeDocument/2006/relationships/image" Target="media/image386.png"/><Relationship Id="rId417" Type="http://schemas.openxmlformats.org/officeDocument/2006/relationships/image" Target="media/image387.png"/><Relationship Id="rId418" Type="http://schemas.openxmlformats.org/officeDocument/2006/relationships/image" Target="media/image388.png"/><Relationship Id="rId419" Type="http://schemas.openxmlformats.org/officeDocument/2006/relationships/image" Target="media/image389.png"/><Relationship Id="rId420" Type="http://schemas.openxmlformats.org/officeDocument/2006/relationships/image" Target="media/image390.png"/><Relationship Id="rId421" Type="http://schemas.openxmlformats.org/officeDocument/2006/relationships/image" Target="media/image391.png"/><Relationship Id="rId422" Type="http://schemas.openxmlformats.org/officeDocument/2006/relationships/image" Target="media/image392.png"/><Relationship Id="rId423" Type="http://schemas.openxmlformats.org/officeDocument/2006/relationships/image" Target="media/image393.png"/><Relationship Id="rId424" Type="http://schemas.openxmlformats.org/officeDocument/2006/relationships/image" Target="media/image394.png"/><Relationship Id="rId425" Type="http://schemas.openxmlformats.org/officeDocument/2006/relationships/image" Target="media/image395.png"/><Relationship Id="rId426" Type="http://schemas.openxmlformats.org/officeDocument/2006/relationships/image" Target="media/image396.png"/><Relationship Id="rId427" Type="http://schemas.openxmlformats.org/officeDocument/2006/relationships/image" Target="media/image397.png"/><Relationship Id="rId428" Type="http://schemas.openxmlformats.org/officeDocument/2006/relationships/image" Target="media/image398.png"/><Relationship Id="rId429" Type="http://schemas.openxmlformats.org/officeDocument/2006/relationships/image" Target="media/image399.png"/><Relationship Id="rId430" Type="http://schemas.openxmlformats.org/officeDocument/2006/relationships/image" Target="media/image400.png"/><Relationship Id="rId431" Type="http://schemas.openxmlformats.org/officeDocument/2006/relationships/image" Target="media/image401.png"/><Relationship Id="rId432" Type="http://schemas.openxmlformats.org/officeDocument/2006/relationships/image" Target="media/image402.png"/><Relationship Id="rId433" Type="http://schemas.openxmlformats.org/officeDocument/2006/relationships/image" Target="media/image403.png"/><Relationship Id="rId434" Type="http://schemas.openxmlformats.org/officeDocument/2006/relationships/image" Target="media/image404.png"/><Relationship Id="rId435" Type="http://schemas.openxmlformats.org/officeDocument/2006/relationships/image" Target="media/image405.png"/><Relationship Id="rId436" Type="http://schemas.openxmlformats.org/officeDocument/2006/relationships/image" Target="media/image406.png"/><Relationship Id="rId437" Type="http://schemas.openxmlformats.org/officeDocument/2006/relationships/image" Target="media/image407.png"/><Relationship Id="rId438" Type="http://schemas.openxmlformats.org/officeDocument/2006/relationships/image" Target="media/image408.png"/><Relationship Id="rId439" Type="http://schemas.openxmlformats.org/officeDocument/2006/relationships/image" Target="media/image409.png"/><Relationship Id="rId440" Type="http://schemas.openxmlformats.org/officeDocument/2006/relationships/image" Target="media/image410.png"/><Relationship Id="rId441" Type="http://schemas.openxmlformats.org/officeDocument/2006/relationships/image" Target="media/image411.png"/><Relationship Id="rId442" Type="http://schemas.openxmlformats.org/officeDocument/2006/relationships/image" Target="media/image412.png"/><Relationship Id="rId443" Type="http://schemas.openxmlformats.org/officeDocument/2006/relationships/image" Target="media/image413.png"/><Relationship Id="rId444" Type="http://schemas.openxmlformats.org/officeDocument/2006/relationships/image" Target="media/image414.png"/><Relationship Id="rId445" Type="http://schemas.openxmlformats.org/officeDocument/2006/relationships/image" Target="media/image415.png"/><Relationship Id="rId446" Type="http://schemas.openxmlformats.org/officeDocument/2006/relationships/image" Target="media/image416.png"/><Relationship Id="rId447" Type="http://schemas.openxmlformats.org/officeDocument/2006/relationships/image" Target="media/image417.png"/><Relationship Id="rId448" Type="http://schemas.openxmlformats.org/officeDocument/2006/relationships/image" Target="media/image418.png"/><Relationship Id="rId449" Type="http://schemas.openxmlformats.org/officeDocument/2006/relationships/image" Target="media/image419.png"/><Relationship Id="rId450" Type="http://schemas.openxmlformats.org/officeDocument/2006/relationships/image" Target="media/image420.png"/><Relationship Id="rId451" Type="http://schemas.openxmlformats.org/officeDocument/2006/relationships/image" Target="media/image421.png"/><Relationship Id="rId452" Type="http://schemas.openxmlformats.org/officeDocument/2006/relationships/image" Target="media/image422.png"/><Relationship Id="rId453" Type="http://schemas.openxmlformats.org/officeDocument/2006/relationships/image" Target="media/image423.png"/><Relationship Id="rId454" Type="http://schemas.openxmlformats.org/officeDocument/2006/relationships/image" Target="media/image424.png"/><Relationship Id="rId455" Type="http://schemas.openxmlformats.org/officeDocument/2006/relationships/image" Target="media/image425.png"/><Relationship Id="rId456" Type="http://schemas.openxmlformats.org/officeDocument/2006/relationships/image" Target="media/image426.png"/><Relationship Id="rId457" Type="http://schemas.openxmlformats.org/officeDocument/2006/relationships/image" Target="media/image427.png"/><Relationship Id="rId458" Type="http://schemas.openxmlformats.org/officeDocument/2006/relationships/image" Target="media/image428.png"/><Relationship Id="rId459" Type="http://schemas.openxmlformats.org/officeDocument/2006/relationships/image" Target="media/image429.png"/><Relationship Id="rId460" Type="http://schemas.openxmlformats.org/officeDocument/2006/relationships/image" Target="media/image430.png"/><Relationship Id="rId461" Type="http://schemas.openxmlformats.org/officeDocument/2006/relationships/image" Target="media/image431.png"/><Relationship Id="rId462" Type="http://schemas.openxmlformats.org/officeDocument/2006/relationships/image" Target="media/image432.png"/><Relationship Id="rId463" Type="http://schemas.openxmlformats.org/officeDocument/2006/relationships/image" Target="media/image433.png"/><Relationship Id="rId464" Type="http://schemas.openxmlformats.org/officeDocument/2006/relationships/image" Target="media/image434.png"/><Relationship Id="rId465" Type="http://schemas.openxmlformats.org/officeDocument/2006/relationships/image" Target="media/image435.png"/><Relationship Id="rId466" Type="http://schemas.openxmlformats.org/officeDocument/2006/relationships/image" Target="media/image436.png"/><Relationship Id="rId467" Type="http://schemas.openxmlformats.org/officeDocument/2006/relationships/image" Target="media/image437.png"/><Relationship Id="rId468" Type="http://schemas.openxmlformats.org/officeDocument/2006/relationships/image" Target="media/image438.png"/><Relationship Id="rId469" Type="http://schemas.openxmlformats.org/officeDocument/2006/relationships/image" Target="media/image439.png"/><Relationship Id="rId470" Type="http://schemas.openxmlformats.org/officeDocument/2006/relationships/image" Target="media/image440.png"/><Relationship Id="rId471" Type="http://schemas.openxmlformats.org/officeDocument/2006/relationships/image" Target="media/image441.png"/><Relationship Id="rId472" Type="http://schemas.openxmlformats.org/officeDocument/2006/relationships/image" Target="media/image442.png"/><Relationship Id="rId473" Type="http://schemas.openxmlformats.org/officeDocument/2006/relationships/image" Target="media/image443.png"/><Relationship Id="rId474" Type="http://schemas.openxmlformats.org/officeDocument/2006/relationships/image" Target="media/image444.png"/><Relationship Id="rId475" Type="http://schemas.openxmlformats.org/officeDocument/2006/relationships/image" Target="media/image445.png"/><Relationship Id="rId476" Type="http://schemas.openxmlformats.org/officeDocument/2006/relationships/image" Target="media/image446.png"/><Relationship Id="rId477" Type="http://schemas.openxmlformats.org/officeDocument/2006/relationships/image" Target="media/image447.png"/><Relationship Id="rId478" Type="http://schemas.openxmlformats.org/officeDocument/2006/relationships/image" Target="media/image448.png"/><Relationship Id="rId479" Type="http://schemas.openxmlformats.org/officeDocument/2006/relationships/image" Target="media/image449.png"/><Relationship Id="rId480" Type="http://schemas.openxmlformats.org/officeDocument/2006/relationships/image" Target="media/image450.png"/><Relationship Id="rId481" Type="http://schemas.openxmlformats.org/officeDocument/2006/relationships/image" Target="media/image451.png"/><Relationship Id="rId482" Type="http://schemas.openxmlformats.org/officeDocument/2006/relationships/image" Target="media/image452.png"/><Relationship Id="rId483" Type="http://schemas.openxmlformats.org/officeDocument/2006/relationships/image" Target="media/image453.png"/><Relationship Id="rId484" Type="http://schemas.openxmlformats.org/officeDocument/2006/relationships/image" Target="media/image454.png"/><Relationship Id="rId485" Type="http://schemas.openxmlformats.org/officeDocument/2006/relationships/image" Target="media/image455.png"/><Relationship Id="rId486" Type="http://schemas.openxmlformats.org/officeDocument/2006/relationships/image" Target="media/image456.png"/><Relationship Id="rId487" Type="http://schemas.openxmlformats.org/officeDocument/2006/relationships/image" Target="media/image457.png"/><Relationship Id="rId488" Type="http://schemas.openxmlformats.org/officeDocument/2006/relationships/image" Target="media/image458.png"/><Relationship Id="rId489" Type="http://schemas.openxmlformats.org/officeDocument/2006/relationships/image" Target="media/image459.png"/><Relationship Id="rId490" Type="http://schemas.openxmlformats.org/officeDocument/2006/relationships/image" Target="media/image460.png"/><Relationship Id="rId491" Type="http://schemas.openxmlformats.org/officeDocument/2006/relationships/image" Target="media/image461.png"/><Relationship Id="rId492" Type="http://schemas.openxmlformats.org/officeDocument/2006/relationships/image" Target="media/image462.png"/><Relationship Id="rId493" Type="http://schemas.openxmlformats.org/officeDocument/2006/relationships/image" Target="media/image463.png"/><Relationship Id="rId494" Type="http://schemas.openxmlformats.org/officeDocument/2006/relationships/image" Target="media/image464.png"/><Relationship Id="rId495" Type="http://schemas.openxmlformats.org/officeDocument/2006/relationships/image" Target="media/image465.png"/><Relationship Id="rId496" Type="http://schemas.openxmlformats.org/officeDocument/2006/relationships/image" Target="media/image466.png"/><Relationship Id="rId497" Type="http://schemas.openxmlformats.org/officeDocument/2006/relationships/image" Target="media/image467.png"/><Relationship Id="rId498" Type="http://schemas.openxmlformats.org/officeDocument/2006/relationships/image" Target="media/image468.png"/><Relationship Id="rId499" Type="http://schemas.openxmlformats.org/officeDocument/2006/relationships/image" Target="media/image469.png"/><Relationship Id="rId500" Type="http://schemas.openxmlformats.org/officeDocument/2006/relationships/image" Target="media/image470.png"/><Relationship Id="rId501" Type="http://schemas.openxmlformats.org/officeDocument/2006/relationships/image" Target="media/image471.png"/><Relationship Id="rId502" Type="http://schemas.openxmlformats.org/officeDocument/2006/relationships/image" Target="media/image472.png"/><Relationship Id="rId503" Type="http://schemas.openxmlformats.org/officeDocument/2006/relationships/image" Target="media/image473.png"/><Relationship Id="rId504" Type="http://schemas.openxmlformats.org/officeDocument/2006/relationships/image" Target="media/image474.png"/><Relationship Id="rId505" Type="http://schemas.openxmlformats.org/officeDocument/2006/relationships/image" Target="media/image475.png"/><Relationship Id="rId506" Type="http://schemas.openxmlformats.org/officeDocument/2006/relationships/image" Target="media/image476.png"/><Relationship Id="rId507" Type="http://schemas.openxmlformats.org/officeDocument/2006/relationships/image" Target="media/image477.png"/><Relationship Id="rId508" Type="http://schemas.openxmlformats.org/officeDocument/2006/relationships/image" Target="media/image478.png"/><Relationship Id="rId509" Type="http://schemas.openxmlformats.org/officeDocument/2006/relationships/image" Target="media/image479.png"/><Relationship Id="rId510" Type="http://schemas.openxmlformats.org/officeDocument/2006/relationships/image" Target="media/image480.png"/><Relationship Id="rId511" Type="http://schemas.openxmlformats.org/officeDocument/2006/relationships/image" Target="media/image481.png"/><Relationship Id="rId512" Type="http://schemas.openxmlformats.org/officeDocument/2006/relationships/image" Target="media/image482.png"/><Relationship Id="rId513" Type="http://schemas.openxmlformats.org/officeDocument/2006/relationships/image" Target="media/image483.png"/><Relationship Id="rId514" Type="http://schemas.openxmlformats.org/officeDocument/2006/relationships/image" Target="media/image484.png"/><Relationship Id="rId515" Type="http://schemas.openxmlformats.org/officeDocument/2006/relationships/image" Target="media/image485.png"/><Relationship Id="rId516" Type="http://schemas.openxmlformats.org/officeDocument/2006/relationships/image" Target="media/image486.png"/><Relationship Id="rId517" Type="http://schemas.openxmlformats.org/officeDocument/2006/relationships/image" Target="media/image487.png"/><Relationship Id="rId518" Type="http://schemas.openxmlformats.org/officeDocument/2006/relationships/image" Target="media/image488.png"/><Relationship Id="rId519" Type="http://schemas.openxmlformats.org/officeDocument/2006/relationships/image" Target="media/image489.png"/><Relationship Id="rId520" Type="http://schemas.openxmlformats.org/officeDocument/2006/relationships/image" Target="media/image490.png"/><Relationship Id="rId521" Type="http://schemas.openxmlformats.org/officeDocument/2006/relationships/image" Target="media/image491.png"/><Relationship Id="rId522" Type="http://schemas.openxmlformats.org/officeDocument/2006/relationships/image" Target="media/image492.png"/><Relationship Id="rId523" Type="http://schemas.openxmlformats.org/officeDocument/2006/relationships/image" Target="media/image493.png"/><Relationship Id="rId524" Type="http://schemas.openxmlformats.org/officeDocument/2006/relationships/image" Target="media/image494.png"/><Relationship Id="rId525" Type="http://schemas.openxmlformats.org/officeDocument/2006/relationships/image" Target="media/image495.png"/><Relationship Id="rId526" Type="http://schemas.openxmlformats.org/officeDocument/2006/relationships/image" Target="media/image496.png"/><Relationship Id="rId527" Type="http://schemas.openxmlformats.org/officeDocument/2006/relationships/image" Target="media/image497.png"/><Relationship Id="rId528" Type="http://schemas.openxmlformats.org/officeDocument/2006/relationships/image" Target="media/image498.png"/><Relationship Id="rId529" Type="http://schemas.openxmlformats.org/officeDocument/2006/relationships/image" Target="media/image499.png"/><Relationship Id="rId530" Type="http://schemas.openxmlformats.org/officeDocument/2006/relationships/image" Target="media/image500.png"/><Relationship Id="rId531" Type="http://schemas.openxmlformats.org/officeDocument/2006/relationships/image" Target="media/image501.png"/><Relationship Id="rId532" Type="http://schemas.openxmlformats.org/officeDocument/2006/relationships/image" Target="media/image502.png"/><Relationship Id="rId533" Type="http://schemas.openxmlformats.org/officeDocument/2006/relationships/image" Target="media/image503.png"/><Relationship Id="rId534" Type="http://schemas.openxmlformats.org/officeDocument/2006/relationships/image" Target="media/image504.png"/><Relationship Id="rId535" Type="http://schemas.openxmlformats.org/officeDocument/2006/relationships/image" Target="media/image505.png"/><Relationship Id="rId536" Type="http://schemas.openxmlformats.org/officeDocument/2006/relationships/image" Target="media/image506.png"/><Relationship Id="rId537" Type="http://schemas.openxmlformats.org/officeDocument/2006/relationships/image" Target="media/image507.png"/><Relationship Id="rId538" Type="http://schemas.openxmlformats.org/officeDocument/2006/relationships/image" Target="media/image508.png"/><Relationship Id="rId539" Type="http://schemas.openxmlformats.org/officeDocument/2006/relationships/image" Target="media/image509.png"/><Relationship Id="rId540" Type="http://schemas.openxmlformats.org/officeDocument/2006/relationships/image" Target="media/image510.png"/><Relationship Id="rId541" Type="http://schemas.openxmlformats.org/officeDocument/2006/relationships/image" Target="media/image511.png"/><Relationship Id="rId542" Type="http://schemas.openxmlformats.org/officeDocument/2006/relationships/image" Target="media/image512.png"/><Relationship Id="rId543" Type="http://schemas.openxmlformats.org/officeDocument/2006/relationships/image" Target="media/image513.png"/><Relationship Id="rId544" Type="http://schemas.openxmlformats.org/officeDocument/2006/relationships/image" Target="media/image514.png"/><Relationship Id="rId545" Type="http://schemas.openxmlformats.org/officeDocument/2006/relationships/image" Target="media/image515.png"/><Relationship Id="rId546" Type="http://schemas.openxmlformats.org/officeDocument/2006/relationships/image" Target="media/image516.png"/><Relationship Id="rId547" Type="http://schemas.openxmlformats.org/officeDocument/2006/relationships/image" Target="media/image517.png"/><Relationship Id="rId548" Type="http://schemas.openxmlformats.org/officeDocument/2006/relationships/image" Target="media/image518.png"/><Relationship Id="rId549" Type="http://schemas.openxmlformats.org/officeDocument/2006/relationships/image" Target="media/image519.png"/><Relationship Id="rId550" Type="http://schemas.openxmlformats.org/officeDocument/2006/relationships/image" Target="media/image520.png"/><Relationship Id="rId551" Type="http://schemas.openxmlformats.org/officeDocument/2006/relationships/image" Target="media/image521.png"/><Relationship Id="rId552" Type="http://schemas.openxmlformats.org/officeDocument/2006/relationships/image" Target="media/image522.png"/><Relationship Id="rId553" Type="http://schemas.openxmlformats.org/officeDocument/2006/relationships/image" Target="media/image523.png"/><Relationship Id="rId554" Type="http://schemas.openxmlformats.org/officeDocument/2006/relationships/image" Target="media/image524.png"/><Relationship Id="rId555" Type="http://schemas.openxmlformats.org/officeDocument/2006/relationships/image" Target="media/image525.png"/><Relationship Id="rId556" Type="http://schemas.openxmlformats.org/officeDocument/2006/relationships/image" Target="media/image526.png"/><Relationship Id="rId557" Type="http://schemas.openxmlformats.org/officeDocument/2006/relationships/image" Target="media/image527.png"/><Relationship Id="rId558" Type="http://schemas.openxmlformats.org/officeDocument/2006/relationships/image" Target="media/image528.png"/><Relationship Id="rId559" Type="http://schemas.openxmlformats.org/officeDocument/2006/relationships/image" Target="media/image529.png"/><Relationship Id="rId560" Type="http://schemas.openxmlformats.org/officeDocument/2006/relationships/image" Target="media/image530.png"/><Relationship Id="rId88" Type="http://schemas.openxmlformats.org/officeDocument/2006/relationships/hyperlink" Target="https://www.sec.gov/Archives/edgar/data/1754170/000110465920103066/tm2029921d1_ex2-1.htm" TargetMode="External"/><Relationship Id="rId89" Type="http://schemas.openxmlformats.org/officeDocument/2006/relationships/hyperlink" Target="https://www.sec.gov/Archives/edgar/data/1754170/000110465920136508/tm2038647d1_ex10-5.htm" TargetMode="External"/><Relationship Id="rId90" Type="http://schemas.openxmlformats.org/officeDocument/2006/relationships/hyperlink" Target="https://www.sec.gov/Archives/edgar/data/1797381/000110465920114657/tm2025456d6_ex3-1.htm" TargetMode="External"/><Relationship Id="rId91" Type="http://schemas.openxmlformats.org/officeDocument/2006/relationships/hyperlink" Target="https://www.sec.gov/Archives/edgar/data/1754170/000110465920139143/tm2039148d1_ex3-2.htm" TargetMode="External"/><Relationship Id="rId92" Type="http://schemas.openxmlformats.org/officeDocument/2006/relationships/hyperlink" Target="https://www.sec.gov/Archives/edgar/data/1797381/000110465920114657/tm2025456d6_ex3-2.htm" TargetMode="External"/><Relationship Id="rId93" Type="http://schemas.openxmlformats.org/officeDocument/2006/relationships/hyperlink" Target="https://www.sec.gov/Archives/edgar/data/1754170/000110465920139143/tm2039148d1_ex3-4.htm" TargetMode="External"/><Relationship Id="rId94" Type="http://schemas.openxmlformats.org/officeDocument/2006/relationships/hyperlink" Target="https://www.sec.gov/Archives/edgar/data/1797381/000110465920020784/tv535584_ex4-2.htm" TargetMode="External"/><Relationship Id="rId95" Type="http://schemas.openxmlformats.org/officeDocument/2006/relationships/hyperlink" Target="https://www.sec.gov/Archives/edgar/data/1797381/000110465920020784/tv535584_ex4-3.htm" TargetMode="External"/><Relationship Id="rId96" Type="http://schemas.openxmlformats.org/officeDocument/2006/relationships/hyperlink" Target="https://www.sec.gov/Archives/edgar/data/1754170/000114420419006634/tv513034_ex4-1.htm" TargetMode="External"/><Relationship Id="rId97" Type="http://schemas.openxmlformats.org/officeDocument/2006/relationships/hyperlink" Target="https://www.sec.gov/Archives/edgar/data/1754170/000110465920136508/tm2038647d1_ex10-4.htm" TargetMode="External"/><Relationship Id="rId98" Type="http://schemas.openxmlformats.org/officeDocument/2006/relationships/hyperlink" Target="https://www.sec.gov/Archives/edgar/data/1754170/000110465920103066/tm2029921d1_ex10-1.htm" TargetMode="External"/><Relationship Id="rId99" Type="http://schemas.openxmlformats.org/officeDocument/2006/relationships/hyperlink" Target="https://www.sec.gov/Archives/edgar/data/1754170/000110465920136508/tm2038647d1_ex10-2.htm" TargetMode="External"/><Relationship Id="rId100" Type="http://schemas.openxmlformats.org/officeDocument/2006/relationships/hyperlink" Target="https://www.sec.gov/Archives/edgar/data/1754170/000110465920136508/tm2038647d1_ex10-1.htm" TargetMode="External"/><Relationship Id="rId101" Type="http://schemas.openxmlformats.org/officeDocument/2006/relationships/hyperlink" Target="https://www.sec.gov/Archives/edgar/data/1754170/000110465920136508/tm2038647d1_ex10-3.htm" TargetMode="External"/><Relationship Id="rId102" Type="http://schemas.openxmlformats.org/officeDocument/2006/relationships/hyperlink" Target="https://www.sec.gov/Archives/edgar/data/1754170/000110465920139143/tm2039148d1_ex10-7.htm" TargetMode="External"/><Relationship Id="rId103" Type="http://schemas.openxmlformats.org/officeDocument/2006/relationships/hyperlink" Target="https://www.sec.gov/Archives/edgar/data/1754170/000110465920139143/tm2039148d1_ex10-8.htm" TargetMode="External"/><Relationship Id="rId104" Type="http://schemas.openxmlformats.org/officeDocument/2006/relationships/hyperlink" Target="https://www.sec.gov/Archives/edgar/data/1754170/000110465920139143/tm2039148d1_ex10-9.htm" TargetMode="External"/><Relationship Id="rId105" Type="http://schemas.openxmlformats.org/officeDocument/2006/relationships/hyperlink" Target="https://www.sec.gov/Archives/edgar/data/1754170/000110465920103066/tm2029921d1_ex10-2.htm" TargetMode="External"/><Relationship Id="rId106" Type="http://schemas.openxmlformats.org/officeDocument/2006/relationships/hyperlink" Target="https://www.sec.gov/Archives/edgar/data/1797381/000110465920020784/tv535584_ex10-8.htm" TargetMode="External"/><Relationship Id="rId107" Type="http://schemas.openxmlformats.org/officeDocument/2006/relationships/hyperlink" Target="http://www.sec.gov/Archives/edgar/data/1797381/000110465920020784/tv535584_ex10-9.htm" TargetMode="External"/><Relationship Id="rId108" Type="http://schemas.openxmlformats.org/officeDocument/2006/relationships/hyperlink" Target="http://www.sec.gov/Archives/edgar/data/1797381/000110465920114657/tm2025456d6_ex10-1.htm" TargetMode="External"/><Relationship Id="rId109" Type="http://schemas.openxmlformats.org/officeDocument/2006/relationships/hyperlink" Target="https://www.sec.gov/Archives/edgar/data/1754170/000110465921026941/tm217468d1_ex99-2.htm" TargetMode="External"/><Relationship Id="rId110" Type="http://schemas.openxmlformats.org/officeDocument/2006/relationships/hyperlink" Target="http://www.sec.gov/Archives/edgar/data/1797381/000110465920114657/tm2025456d6_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2021-03-16T15:07:24Z</dcterms:created>
  <dcterms:modified xsi:type="dcterms:W3CDTF">2021-03-16T15:07:24Z</dcterms:modified>
</cp:coreProperties>
</file>