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7" w:lineRule="exact"/>
        <w:rPr>
          <w:sz w:val="24"/>
          <w:szCs w:val="24"/>
          <w:color w:val="auto"/>
        </w:rPr>
      </w:pPr>
    </w:p>
    <w:p>
      <w:pPr>
        <w:ind w:left="340" w:right="1340" w:hanging="332"/>
        <w:spacing w:after="0" w:line="387" w:lineRule="auto"/>
        <w:tabs>
          <w:tab w:leader="none" w:pos="29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0"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____________.</w:t>
      </w:r>
    </w:p>
    <w:p>
      <w:pPr>
        <w:spacing w:after="0" w:line="1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Commission file number: 001-38801</w:t>
      </w:r>
    </w:p>
    <w:p>
      <w:pPr>
        <w:spacing w:after="0" w:line="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AerSale Corporation</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42"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3920" w:type="dxa"/>
            <w:vAlign w:val="bottom"/>
          </w:tcPr>
          <w:p>
            <w:pPr>
              <w:jc w:val="center"/>
              <w:ind w:right="121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62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84-3976002</w:t>
            </w:r>
          </w:p>
        </w:tc>
      </w:tr>
      <w:tr>
        <w:trPr>
          <w:trHeight w:val="230"/>
        </w:trPr>
        <w:tc>
          <w:tcPr>
            <w:tcW w:w="3920" w:type="dxa"/>
            <w:vAlign w:val="bottom"/>
          </w:tcPr>
          <w:p>
            <w:pPr>
              <w:jc w:val="center"/>
              <w:ind w:right="11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62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29"/>
        </w:trPr>
        <w:tc>
          <w:tcPr>
            <w:tcW w:w="3920" w:type="dxa"/>
            <w:vAlign w:val="bottom"/>
          </w:tcPr>
          <w:p>
            <w:pPr>
              <w:jc w:val="center"/>
              <w:ind w:right="12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620" w:type="dxa"/>
            <w:vAlign w:val="bottom"/>
          </w:tcPr>
          <w:p>
            <w:pPr>
              <w:spacing w:after="0"/>
              <w:rPr>
                <w:sz w:val="19"/>
                <w:szCs w:val="19"/>
                <w:color w:val="auto"/>
              </w:rPr>
            </w:pPr>
          </w:p>
        </w:tc>
      </w:tr>
      <w:tr>
        <w:trPr>
          <w:trHeight w:val="328"/>
        </w:trPr>
        <w:tc>
          <w:tcPr>
            <w:tcW w:w="3920" w:type="dxa"/>
            <w:vAlign w:val="bottom"/>
          </w:tcPr>
          <w:p>
            <w:pPr>
              <w:jc w:val="center"/>
              <w:ind w:right="1219"/>
              <w:spacing w:after="0"/>
              <w:rPr>
                <w:sz w:val="20"/>
                <w:szCs w:val="20"/>
                <w:color w:val="auto"/>
              </w:rPr>
            </w:pPr>
            <w:r>
              <w:rPr>
                <w:rFonts w:ascii="Times New Roman" w:cs="Times New Roman" w:eastAsia="Times New Roman" w:hAnsi="Times New Roman"/>
                <w:sz w:val="16"/>
                <w:szCs w:val="16"/>
                <w:b w:val="1"/>
                <w:bCs w:val="1"/>
                <w:color w:val="auto"/>
                <w:w w:val="99"/>
              </w:rPr>
              <w:t>9850 NW 41</w:t>
            </w:r>
            <w:r>
              <w:rPr>
                <w:rFonts w:ascii="Times New Roman" w:cs="Times New Roman" w:eastAsia="Times New Roman" w:hAnsi="Times New Roman"/>
                <w:sz w:val="24"/>
                <w:szCs w:val="24"/>
                <w:b w:val="1"/>
                <w:bCs w:val="1"/>
                <w:color w:val="auto"/>
                <w:w w:val="99"/>
                <w:vertAlign w:val="superscript"/>
              </w:rPr>
              <w:t>st</w:t>
            </w:r>
            <w:r>
              <w:rPr>
                <w:rFonts w:ascii="Times New Roman" w:cs="Times New Roman" w:eastAsia="Times New Roman" w:hAnsi="Times New Roman"/>
                <w:sz w:val="16"/>
                <w:szCs w:val="16"/>
                <w:b w:val="1"/>
                <w:bCs w:val="1"/>
                <w:color w:val="auto"/>
                <w:w w:val="99"/>
              </w:rPr>
              <w:t xml:space="preserve"> Street, Suite 400</w:t>
            </w:r>
          </w:p>
        </w:tc>
        <w:tc>
          <w:tcPr>
            <w:tcW w:w="3620" w:type="dxa"/>
            <w:vAlign w:val="bottom"/>
          </w:tcPr>
          <w:p>
            <w:pPr>
              <w:spacing w:after="0"/>
              <w:rPr>
                <w:sz w:val="24"/>
                <w:szCs w:val="24"/>
                <w:color w:val="auto"/>
              </w:rPr>
            </w:pPr>
          </w:p>
        </w:tc>
      </w:tr>
      <w:tr>
        <w:trPr>
          <w:trHeight w:val="212"/>
        </w:trPr>
        <w:tc>
          <w:tcPr>
            <w:tcW w:w="3920" w:type="dxa"/>
            <w:vAlign w:val="bottom"/>
          </w:tcPr>
          <w:p>
            <w:pPr>
              <w:jc w:val="center"/>
              <w:ind w:right="1199"/>
              <w:spacing w:after="0"/>
              <w:rPr>
                <w:sz w:val="20"/>
                <w:szCs w:val="20"/>
                <w:color w:val="auto"/>
              </w:rPr>
            </w:pPr>
            <w:r>
              <w:rPr>
                <w:rFonts w:ascii="Times New Roman" w:cs="Times New Roman" w:eastAsia="Times New Roman" w:hAnsi="Times New Roman"/>
                <w:sz w:val="16"/>
                <w:szCs w:val="16"/>
                <w:b w:val="1"/>
                <w:bCs w:val="1"/>
                <w:color w:val="auto"/>
              </w:rPr>
              <w:t>Doral, FL</w:t>
            </w:r>
          </w:p>
        </w:tc>
        <w:tc>
          <w:tcPr>
            <w:tcW w:w="362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33178</w:t>
            </w:r>
          </w:p>
        </w:tc>
      </w:tr>
      <w:tr>
        <w:trPr>
          <w:trHeight w:val="230"/>
        </w:trPr>
        <w:tc>
          <w:tcPr>
            <w:tcW w:w="3920" w:type="dxa"/>
            <w:vAlign w:val="bottom"/>
          </w:tcPr>
          <w:p>
            <w:pPr>
              <w:jc w:val="center"/>
              <w:ind w:right="11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62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(305) 764-3200</w:t>
      </w:r>
    </w:p>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25"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255 Alhambra Circle, Suite 435</w:t>
      </w:r>
    </w:p>
    <w:p>
      <w:pPr>
        <w:spacing w:after="0" w:line="2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Coral Gables, FL 33134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1454785</wp:posOffset>
            </wp:positionH>
            <wp:positionV relativeFrom="paragraph">
              <wp:posOffset>58420</wp:posOffset>
            </wp:positionV>
            <wp:extent cx="33947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26"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9860"/>
          </w:cols>
          <w:pgMar w:left="980" w:top="661" w:right="1059" w:bottom="1440" w:gutter="0" w:footer="0" w:header="0"/>
        </w:sectPr>
      </w:pPr>
    </w:p>
    <w:p>
      <w:pPr>
        <w:spacing w:after="0" w:line="125"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8"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4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ASLE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28"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The Nasdaq Capital Market</w:t>
      </w:r>
    </w:p>
    <w:p>
      <w:pPr>
        <w:spacing w:after="0" w:line="105" w:lineRule="exact"/>
        <w:rPr>
          <w:sz w:val="24"/>
          <w:szCs w:val="24"/>
          <w:color w:val="auto"/>
        </w:rPr>
      </w:pPr>
    </w:p>
    <w:p>
      <w:pPr>
        <w:sectPr>
          <w:pgSz w:w="11900" w:h="16838" w:orient="portrait"/>
          <w:cols w:equalWidth="0" w:num="3">
            <w:col w:w="3680" w:space="720"/>
            <w:col w:w="1480" w:space="720"/>
            <w:col w:w="3260"/>
          </w:cols>
          <w:pgMar w:left="980" w:top="661" w:right="1059" w:bottom="1440" w:gutter="0" w:footer="0" w:header="0"/>
          <w:type w:val="continuous"/>
        </w:sect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6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6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Accelerated filer</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6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7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ind w:right="20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right="1600"/>
        <w:spacing w:after="0" w:line="27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Registrant’s common stock outstanding as of November 5, 2024 was 53,210,842.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81280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124460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20" w:type="dxa"/>
            <w:vAlign w:val="bottom"/>
            <w:gridSpan w:val="10"/>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59"/>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Forward-Looking Statements</w:t>
            </w:r>
          </w:p>
        </w:tc>
        <w:tc>
          <w:tcPr>
            <w:tcW w:w="4960" w:type="dxa"/>
            <w:vAlign w:val="bottom"/>
            <w:gridSpan w:val="12"/>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63"/>
        </w:trPr>
        <w:tc>
          <w:tcPr>
            <w:tcW w:w="40" w:type="dxa"/>
            <w:vAlign w:val="bottom"/>
          </w:tcPr>
          <w:p>
            <w:pPr>
              <w:spacing w:after="0"/>
              <w:rPr>
                <w:sz w:val="22"/>
                <w:szCs w:val="22"/>
                <w:color w:val="auto"/>
              </w:rPr>
            </w:pPr>
          </w:p>
        </w:tc>
        <w:tc>
          <w:tcPr>
            <w:tcW w:w="31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4720" w:type="dxa"/>
            <w:vAlign w:val="bottom"/>
            <w:gridSpan w:val="10"/>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40" w:type="dxa"/>
            <w:vAlign w:val="bottom"/>
          </w:tcPr>
          <w:p>
            <w:pPr>
              <w:spacing w:after="0"/>
              <w:rPr>
                <w:sz w:val="22"/>
                <w:szCs w:val="22"/>
                <w:color w:val="auto"/>
              </w:rPr>
            </w:pPr>
          </w:p>
        </w:tc>
        <w:tc>
          <w:tcPr>
            <w:tcW w:w="8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1.</w:t>
            </w: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Financial Statements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Balance Sheets (Unaudited)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(Unaudited)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(Unaudited)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4"/>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0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w:t>
            </w:r>
          </w:p>
        </w:tc>
        <w:tc>
          <w:tcPr>
            <w:tcW w:w="1760" w:type="dxa"/>
            <w:vAlign w:val="bottom"/>
            <w:gridSpan w:val="2"/>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Notes to the Condensed Consolidated Financial Statements (Unaudited)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28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64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6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3"/>
        </w:trPr>
        <w:tc>
          <w:tcPr>
            <w:tcW w:w="40" w:type="dxa"/>
            <w:vAlign w:val="bottom"/>
          </w:tcPr>
          <w:p>
            <w:pPr>
              <w:spacing w:after="0"/>
              <w:rPr>
                <w:sz w:val="22"/>
                <w:szCs w:val="22"/>
                <w:color w:val="auto"/>
              </w:rPr>
            </w:pPr>
          </w:p>
        </w:tc>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700" w:type="dxa"/>
            <w:vAlign w:val="bottom"/>
            <w:gridSpan w:val="6"/>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3"/>
        </w:trPr>
        <w:tc>
          <w:tcPr>
            <w:tcW w:w="40" w:type="dxa"/>
            <w:vAlign w:val="bottom"/>
          </w:tcPr>
          <w:p>
            <w:pPr>
              <w:spacing w:after="0"/>
              <w:rPr>
                <w:sz w:val="22"/>
                <w:szCs w:val="22"/>
                <w:color w:val="auto"/>
              </w:rPr>
            </w:pPr>
          </w:p>
        </w:tc>
        <w:tc>
          <w:tcPr>
            <w:tcW w:w="8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4.</w:t>
            </w: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788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4"/>
        </w:trPr>
        <w:tc>
          <w:tcPr>
            <w:tcW w:w="40" w:type="dxa"/>
            <w:vAlign w:val="bottom"/>
          </w:tcPr>
          <w:p>
            <w:pPr>
              <w:spacing w:after="0"/>
              <w:rPr>
                <w:sz w:val="22"/>
                <w:szCs w:val="22"/>
                <w:color w:val="auto"/>
              </w:rPr>
            </w:pPr>
          </w:p>
        </w:tc>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80" w:type="dxa"/>
            <w:vAlign w:val="bottom"/>
            <w:tcBorders>
              <w:top w:val="single" w:sz="8" w:color="0000EE"/>
            </w:tcBorders>
            <w:gridSpan w:val="3"/>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3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80" w:type="dxa"/>
            <w:vAlign w:val="bottom"/>
            <w:tcBorders>
              <w:top w:val="single" w:sz="8" w:color="0000EE"/>
            </w:tcBorders>
            <w:gridSpan w:val="2"/>
          </w:tcPr>
          <w:p>
            <w:pPr>
              <w:spacing w:after="0"/>
              <w:rPr>
                <w:sz w:val="22"/>
                <w:szCs w:val="22"/>
                <w:color w:val="auto"/>
              </w:rPr>
            </w:pPr>
          </w:p>
        </w:tc>
        <w:tc>
          <w:tcPr>
            <w:tcW w:w="5040" w:type="dxa"/>
            <w:vAlign w:val="bottom"/>
            <w:gridSpan w:val="13"/>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3"/>
        </w:trPr>
        <w:tc>
          <w:tcPr>
            <w:tcW w:w="40" w:type="dxa"/>
            <w:vAlign w:val="bottom"/>
          </w:tcPr>
          <w:p>
            <w:pPr>
              <w:spacing w:after="0"/>
              <w:rPr>
                <w:sz w:val="22"/>
                <w:szCs w:val="22"/>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2"/>
                <w:szCs w:val="22"/>
                <w:color w:val="auto"/>
              </w:rPr>
            </w:pPr>
          </w:p>
        </w:tc>
        <w:tc>
          <w:tcPr>
            <w:tcW w:w="1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3"/>
        </w:trPr>
        <w:tc>
          <w:tcPr>
            <w:tcW w:w="40" w:type="dxa"/>
            <w:vAlign w:val="bottom"/>
          </w:tcPr>
          <w:p>
            <w:pPr>
              <w:spacing w:after="0"/>
              <w:rPr>
                <w:sz w:val="22"/>
                <w:szCs w:val="22"/>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434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2720" w:type="dxa"/>
            <w:vAlign w:val="bottom"/>
            <w:gridSpan w:val="7"/>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4"/>
        </w:trPr>
        <w:tc>
          <w:tcPr>
            <w:tcW w:w="40" w:type="dxa"/>
            <w:vAlign w:val="bottom"/>
          </w:tcPr>
          <w:p>
            <w:pPr>
              <w:spacing w:after="0"/>
              <w:rPr>
                <w:sz w:val="22"/>
                <w:szCs w:val="22"/>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28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23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4740" w:type="dxa"/>
            <w:vAlign w:val="bottom"/>
            <w:gridSpan w:val="11"/>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3"/>
        </w:trPr>
        <w:tc>
          <w:tcPr>
            <w:tcW w:w="40" w:type="dxa"/>
            <w:vAlign w:val="bottom"/>
          </w:tcPr>
          <w:p>
            <w:pPr>
              <w:spacing w:after="0"/>
              <w:rPr>
                <w:sz w:val="22"/>
                <w:szCs w:val="22"/>
                <w:color w:val="auto"/>
              </w:rPr>
            </w:pPr>
          </w:p>
        </w:tc>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28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22"/>
                <w:szCs w:val="22"/>
                <w:color w:val="auto"/>
              </w:rPr>
            </w:pPr>
          </w:p>
        </w:tc>
        <w:tc>
          <w:tcPr>
            <w:tcW w:w="5300" w:type="dxa"/>
            <w:vAlign w:val="bottom"/>
            <w:gridSpan w:val="14"/>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3"/>
        </w:trPr>
        <w:tc>
          <w:tcPr>
            <w:tcW w:w="40" w:type="dxa"/>
            <w:vAlign w:val="bottom"/>
          </w:tcPr>
          <w:p>
            <w:pPr>
              <w:spacing w:after="0"/>
              <w:rPr>
                <w:sz w:val="22"/>
                <w:szCs w:val="22"/>
                <w:color w:val="auto"/>
              </w:rPr>
            </w:pPr>
          </w:p>
        </w:tc>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28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6460" w:type="dxa"/>
            <w:vAlign w:val="bottom"/>
            <w:gridSpan w:val="18"/>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4"/>
        </w:trPr>
        <w:tc>
          <w:tcPr>
            <w:tcW w:w="40" w:type="dxa"/>
            <w:vAlign w:val="bottom"/>
          </w:tcPr>
          <w:p>
            <w:pPr>
              <w:spacing w:after="0"/>
              <w:rPr>
                <w:sz w:val="22"/>
                <w:szCs w:val="22"/>
                <w:color w:val="auto"/>
              </w:rPr>
            </w:pPr>
          </w:p>
        </w:tc>
        <w:tc>
          <w:tcPr>
            <w:tcW w:w="8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283"/>
        </w:trPr>
        <w:tc>
          <w:tcPr>
            <w:tcW w:w="4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69"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6"/>
          <w:szCs w:val="16"/>
          <w:color w:val="auto"/>
        </w:rPr>
        <w:t>This Quarterly Report on Form 10-Q (this “Quarterly Report”)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historical facts contained in this Quarterly Report may constitute forward-looking statements, and include, but are not limited to, changes in the market for our services; changes in applicable laws or regulations; the ability to launch new services and products or to profitably expand into new markets; the sufficiency of our liquidity; and expectations of other economic, business and/or competitive factors.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22" w:lineRule="exact"/>
        <w:rPr>
          <w:sz w:val="20"/>
          <w:szCs w:val="20"/>
          <w:color w:val="auto"/>
        </w:rPr>
      </w:pPr>
    </w:p>
    <w:p>
      <w:pPr>
        <w:jc w:val="both"/>
        <w:ind w:left="60" w:right="59" w:firstLine="648"/>
        <w:spacing w:after="0" w:line="265" w:lineRule="auto"/>
        <w:rPr>
          <w:sz w:val="20"/>
          <w:szCs w:val="20"/>
          <w:color w:val="auto"/>
        </w:rPr>
      </w:pPr>
      <w:r>
        <w:rPr>
          <w:rFonts w:ascii="Times New Roman" w:cs="Times New Roman" w:eastAsia="Times New Roman" w:hAnsi="Times New Roman"/>
          <w:sz w:val="16"/>
          <w:szCs w:val="16"/>
          <w:color w:val="auto"/>
        </w:rPr>
        <w:t xml:space="preserve">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w:t>
      </w:r>
      <w:r>
        <w:rPr>
          <w:rFonts w:ascii="Times New Roman" w:cs="Times New Roman" w:eastAsia="Times New Roman" w:hAnsi="Times New Roman"/>
          <w:sz w:val="16"/>
          <w:szCs w:val="16"/>
          <w:color w:val="231F20"/>
        </w:rPr>
        <w:t>following: disruptions in supply chain; factors that adversely impact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 xml:space="preserve">commercial aviation industry; the fluctuating market value of our products; our ability to repossess mid-life commercial aircraft and engines (“Flight Equipment”) when a lessee defaults; success at our maintenance, repair and overhaul (“MRO”) facilities is dependent upon continued outsourcing by airlines; shortage of skilled personnel or work stoppages; the inability to obtain certain components and raw materials from suppliers; the highly competitive nature of the markets in which we operate; risks associated with our international operations; the risks from business acquisitions and integration of new businesses acquired; the unique risks we encounter by supplying equipment and services to the U.S. government; further consolidation of customers and suppliers in our markets; cyber or other security threats or disruptions; the significant capital expenditures that may be required to keep pace with technological developments in our industry lack of ownership of certain intellectual property and tooling that is important to our business; litigation to protect our intellectual property; our dependence on our facilities, which are subject to physical and other risks that could disrupt production; risks from any improper conduct by our employees, agents, subcontractors, suppliers, business ventures or joint ventures in which we participate; loss of services from key employees; the failure of our subcontractors to perform their contractual obligations; impacts from future outbreaks and infectious diseases on flight activity, demand for MRO and leasing services, our business partners or customers, and the related macro environment; our dependence on continued availability of financing to manage our business and to execute our business strategy, and unavailability of additional financing on terms acceptable to us; our failure to comply with the covenants in the documents governing our existing and future indebtedness; limitations of our current and future operations from restrictive covenants contained in documents governing our indebtedness; unanticipated changes in our tax provision; possible goodwill and other asset impairments; changes in interest rates, foreign currency exchange rates and swap counterparty risks; we are subject to significant government regulation and may need to incur significant expenses to comply with new or more stringent government regulation; compliance with U.S. and other anti-corruption laws, export control laws, import control laws, trade and economic sanction laws and other laws governing our operations; current or future regulatory proceedings or litigation including product liability, intellectual property disputes and other claims not adequately covered by insurance; the liens of Flight Equipment could exceed the value of such Flight Equipment; the risk that our leased aircraft engines are deemed accessions to the aircraft and our ability to repossess an engine is impaired; product and other liability claims not covered by insurance; the extensive environmental requirements with which we must comply; global climate change, or by legal, regulatory or market responses to such change; depressed stock price as a result of substantial future sales of our common stock, or the perception in the public markets that these sales may occur; lack of analyst coverage for our common stock; actual or anticipated sales of significant amounts of our common stock; the fact that we do not intend to pay dividends on our common stock for the foreseeable future; reduced disclosure due to our filing status as an “emerging growth company”; ineffective internal control over financial reporting; insolvency of our customers; the adverse effect of negative economic conditions and other </w:t>
      </w:r>
      <w:r>
        <w:rPr>
          <w:rFonts w:ascii="Times New Roman" w:cs="Times New Roman" w:eastAsia="Times New Roman" w:hAnsi="Times New Roman"/>
          <w:sz w:val="16"/>
          <w:szCs w:val="16"/>
          <w:color w:val="000000"/>
        </w:rPr>
        <w:t>factors described under the section titled “Risk Factors” in our Annual Report on Form 10-K for the year ended December 31,</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2023, filed with the Securities and Exchange Commission on March 8, 2024.</w:t>
      </w:r>
    </w:p>
    <w:p>
      <w:pPr>
        <w:spacing w:after="0" w:line="314" w:lineRule="exact"/>
        <w:rPr>
          <w:sz w:val="20"/>
          <w:szCs w:val="20"/>
          <w:color w:val="auto"/>
        </w:rPr>
      </w:pPr>
    </w:p>
    <w:p>
      <w:pPr>
        <w:jc w:val="both"/>
        <w:ind w:left="60" w:right="59" w:firstLine="648"/>
        <w:spacing w:after="0" w:line="298" w:lineRule="auto"/>
        <w:rPr>
          <w:sz w:val="20"/>
          <w:szCs w:val="20"/>
          <w:color w:val="auto"/>
        </w:rPr>
      </w:pPr>
      <w:r>
        <w:rPr>
          <w:rFonts w:ascii="Times New Roman" w:cs="Times New Roman" w:eastAsia="Times New Roman" w:hAnsi="Times New Roman"/>
          <w:sz w:val="16"/>
          <w:szCs w:val="16"/>
          <w:color w:val="auto"/>
        </w:rPr>
        <w:t>Moreover, we operate in an evolving environment. New risk factors and uncertainties may emerge from time to time, and it is not possible for management to predict all risk factors and uncertainties.</w:t>
      </w:r>
    </w:p>
    <w:p>
      <w:pPr>
        <w:spacing w:after="0" w:line="97" w:lineRule="exact"/>
        <w:rPr>
          <w:sz w:val="20"/>
          <w:szCs w:val="20"/>
          <w:color w:val="auto"/>
        </w:rPr>
      </w:pPr>
    </w:p>
    <w:p>
      <w:pPr>
        <w:jc w:val="both"/>
        <w:ind w:left="60" w:right="59" w:firstLine="648"/>
        <w:spacing w:after="0" w:line="275" w:lineRule="auto"/>
        <w:rPr>
          <w:sz w:val="20"/>
          <w:szCs w:val="20"/>
          <w:color w:val="auto"/>
        </w:rPr>
      </w:pPr>
      <w:r>
        <w:rPr>
          <w:rFonts w:ascii="Times New Roman" w:cs="Times New Roman" w:eastAsia="Times New Roman" w:hAnsi="Times New Roman"/>
          <w:sz w:val="16"/>
          <w:szCs w:val="16"/>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15" w:lineRule="exact"/>
        <w:rPr>
          <w:sz w:val="20"/>
          <w:szCs w:val="20"/>
          <w:color w:val="auto"/>
        </w:rPr>
      </w:pPr>
    </w:p>
    <w:p>
      <w:pPr>
        <w:jc w:val="both"/>
        <w:ind w:left="60" w:right="79" w:firstLine="648"/>
        <w:spacing w:after="0" w:line="298" w:lineRule="auto"/>
        <w:rPr>
          <w:sz w:val="20"/>
          <w:szCs w:val="20"/>
          <w:color w:val="auto"/>
        </w:rPr>
      </w:pPr>
      <w:r>
        <w:rPr>
          <w:rFonts w:ascii="Times New Roman" w:cs="Times New Roman" w:eastAsia="Times New Roman" w:hAnsi="Times New Roman"/>
          <w:sz w:val="16"/>
          <w:szCs w:val="16"/>
          <w:color w:val="auto"/>
        </w:rPr>
        <w:t>Unless otherwise stated or the context otherwise requires, references in this Quarterly Report to the “Company,” “AerSale,” “we,” “us,” “our” and similar terms refer to AerSale Corporation (f/k/a Monocle Holdings, Inc.) and its consolidated subsidiaries.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396875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AERSALE CORPORATION AND SUBSIDIARIES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 and par value)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1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4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5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9,787</w:t>
            </w:r>
          </w:p>
        </w:tc>
        <w:tc>
          <w:tcPr>
            <w:tcW w:w="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5,873</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40" w:type="dxa"/>
            <w:vAlign w:val="bottom"/>
            <w:gridSpan w:val="2"/>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$1,173 and $978 as of September 30, 2024 and</w:t>
            </w: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33,745</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31,239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December 31, 2023, respectively</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5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Aircraft, airframes, engines, and parts, net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263,728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177,770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Advance vendor payments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12,257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35,757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Borders>
              <w:bottom w:val="single" w:sz="8" w:color="CCEEFF"/>
            </w:tcBorders>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Deposits, prepaid expenses, and other current assets</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18,180</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gridSpan w:val="2"/>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339,736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264,774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Fixed assets:</w:t>
            </w:r>
          </w:p>
        </w:tc>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Aircraft and engines held for lease, net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40,163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32,710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5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Aircraft, airframes, engines, and parts, net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109,706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24,796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11,736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financing costs, net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5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20,965</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21,986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56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601,456</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553,938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04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Current liabilities:</w:t>
            </w:r>
          </w:p>
        </w:tc>
        <w:tc>
          <w:tcPr>
            <w:tcW w:w="5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34,870</w:t>
            </w:r>
          </w:p>
        </w:tc>
        <w:tc>
          <w:tcPr>
            <w:tcW w:w="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6,221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Lessee and customer purchase deposits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operating lease liabilities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4,062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854</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47,114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45,713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Revolving credit facility</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78,513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lease deposits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Long-term operating lease liabilities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22,297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Maintenance deposit payments and other liabilities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56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gridSpan w:val="2"/>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149,932</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108,923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40" w:type="dxa"/>
            <w:vAlign w:val="bottom"/>
            <w:gridSpan w:val="2"/>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$0.0001 par value. Authorized 200,000,000 shares; issued and outstanding 53,210,842 and</w:t>
            </w: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52,954,430 shares as of September 30, 2024 and December 31, 2023</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315,099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311,739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5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136,420</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133,271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451,524</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445,015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gridSpan w:val="2"/>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601,456</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553,938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296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4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4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Products</w:t>
            </w:r>
          </w:p>
        </w:tc>
        <w:tc>
          <w:tcPr>
            <w:tcW w:w="8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47,719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66,842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152,627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149,960</w:t>
            </w: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Leasing</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11,396</w:t>
            </w: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Services</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28,065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23,154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83,430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78,725</w:t>
            </w:r>
          </w:p>
        </w:tc>
        <w:tc>
          <w:tcPr>
            <w:tcW w:w="160" w:type="dxa"/>
            <w:vAlign w:val="bottom"/>
            <w:tcBorders>
              <w:bottom w:val="single" w:sz="8" w:color="CCEEFF"/>
            </w:tcBorders>
          </w:tcPr>
          <w:p>
            <w:pPr>
              <w:spacing w:after="0"/>
              <w:rPr>
                <w:sz w:val="18"/>
                <w:szCs w:val="18"/>
                <w:color w:val="auto"/>
              </w:rPr>
            </w:pPr>
          </w:p>
        </w:tc>
      </w:tr>
      <w:tr>
        <w:trPr>
          <w:trHeight w:val="209"/>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82,684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92,484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250,325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240,081</w:t>
            </w:r>
          </w:p>
        </w:tc>
        <w:tc>
          <w:tcPr>
            <w:tcW w:w="160" w:type="dxa"/>
            <w:vAlign w:val="bottom"/>
            <w:shd w:val="clear" w:color="auto" w:fill="CCEEFF"/>
          </w:tcPr>
          <w:p>
            <w:pPr>
              <w:spacing w:after="0"/>
              <w:rPr>
                <w:sz w:val="18"/>
                <w:szCs w:val="18"/>
                <w:color w:val="auto"/>
              </w:rPr>
            </w:pPr>
          </w:p>
        </w:tc>
      </w:tr>
      <w:tr>
        <w:trPr>
          <w:trHeight w:val="210"/>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 and operating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products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107,176</w:t>
            </w: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leasing</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3,253</w:t>
            </w: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services</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70,793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61,647</w:t>
            </w:r>
          </w:p>
        </w:tc>
        <w:tc>
          <w:tcPr>
            <w:tcW w:w="160" w:type="dxa"/>
            <w:vAlign w:val="bottom"/>
            <w:shd w:val="clear" w:color="auto" w:fill="CCEEFF"/>
          </w:tcPr>
          <w:p>
            <w:pPr>
              <w:spacing w:after="0"/>
              <w:rPr>
                <w:sz w:val="18"/>
                <w:szCs w:val="18"/>
                <w:color w:val="auto"/>
              </w:rPr>
            </w:pPr>
          </w:p>
        </w:tc>
      </w:tr>
      <w:tr>
        <w:trPr>
          <w:trHeight w:val="210"/>
        </w:trPr>
        <w:tc>
          <w:tcPr>
            <w:tcW w:w="3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cost of sales</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59,009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69,010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176,134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172,076</w:t>
            </w:r>
          </w:p>
        </w:tc>
        <w:tc>
          <w:tcPr>
            <w:tcW w:w="160" w:type="dxa"/>
            <w:vAlign w:val="bottom"/>
            <w:tcBorders>
              <w:bottom w:val="single" w:sz="8" w:color="CCEEFF"/>
            </w:tcBorders>
          </w:tcPr>
          <w:p>
            <w:pPr>
              <w:spacing w:after="0"/>
              <w:rPr>
                <w:sz w:val="18"/>
                <w:szCs w:val="18"/>
                <w:color w:val="auto"/>
              </w:rPr>
            </w:pPr>
          </w:p>
        </w:tc>
      </w:tr>
      <w:tr>
        <w:trPr>
          <w:trHeight w:val="209"/>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profit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68,005</w:t>
            </w: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21,679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25,403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69,384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77,724</w:t>
            </w:r>
          </w:p>
        </w:tc>
        <w:tc>
          <w:tcPr>
            <w:tcW w:w="160" w:type="dxa"/>
            <w:vAlign w:val="bottom"/>
            <w:tcBorders>
              <w:bottom w:val="single" w:sz="8" w:color="CCEEFF"/>
            </w:tcBorders>
          </w:tcPr>
          <w:p>
            <w:pPr>
              <w:spacing w:after="0"/>
              <w:rPr>
                <w:sz w:val="18"/>
                <w:szCs w:val="18"/>
                <w:color w:val="auto"/>
              </w:rPr>
            </w:pPr>
          </w:p>
        </w:tc>
      </w:tr>
      <w:tr>
        <w:trPr>
          <w:trHeight w:val="196"/>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7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4,807</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(9,719)</w:t>
            </w:r>
          </w:p>
        </w:tc>
        <w:tc>
          <w:tcPr>
            <w:tcW w:w="160" w:type="dxa"/>
            <w:vAlign w:val="bottom"/>
            <w:shd w:val="clear" w:color="auto" w:fill="CCEEFF"/>
          </w:tcPr>
          <w:p>
            <w:pPr>
              <w:spacing w:after="0"/>
              <w:rPr>
                <w:sz w:val="17"/>
                <w:szCs w:val="17"/>
                <w:color w:val="auto"/>
              </w:rPr>
            </w:pPr>
          </w:p>
        </w:tc>
      </w:tr>
      <w:tr>
        <w:trPr>
          <w:trHeight w:val="210"/>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(expenses) income: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160" w:type="dxa"/>
            <w:vAlign w:val="bottom"/>
            <w:shd w:val="clear" w:color="auto" w:fill="CCEEFF"/>
          </w:tcPr>
          <w:p>
            <w:pPr>
              <w:spacing w:after="0"/>
              <w:rPr>
                <w:sz w:val="18"/>
                <w:szCs w:val="18"/>
                <w:color w:val="auto"/>
              </w:rPr>
            </w:pPr>
          </w:p>
        </w:tc>
      </w:tr>
      <w:tr>
        <w:trPr>
          <w:trHeight w:val="210"/>
        </w:trPr>
        <w:tc>
          <w:tcPr>
            <w:tcW w:w="3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other (expenses) income</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2,680</w:t>
            </w:r>
          </w:p>
        </w:tc>
        <w:tc>
          <w:tcPr>
            <w:tcW w:w="160" w:type="dxa"/>
            <w:vAlign w:val="bottom"/>
            <w:tcBorders>
              <w:bottom w:val="single" w:sz="8" w:color="CCEEFF"/>
            </w:tcBorders>
          </w:tcPr>
          <w:p>
            <w:pPr>
              <w:spacing w:after="0"/>
              <w:rPr>
                <w:sz w:val="18"/>
                <w:szCs w:val="18"/>
                <w:color w:val="auto"/>
              </w:rPr>
            </w:pPr>
          </w:p>
        </w:tc>
      </w:tr>
      <w:tr>
        <w:trPr>
          <w:trHeight w:val="210"/>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(loss) before income tax provision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(7,039)</w:t>
            </w: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4,208</w:t>
            </w:r>
          </w:p>
        </w:tc>
        <w:tc>
          <w:tcPr>
            <w:tcW w:w="160" w:type="dxa"/>
            <w:vAlign w:val="bottom"/>
            <w:tcBorders>
              <w:bottom w:val="single" w:sz="8" w:color="CCEEFF"/>
            </w:tcBorders>
          </w:tcPr>
          <w:p>
            <w:pPr>
              <w:spacing w:after="0"/>
              <w:rPr>
                <w:sz w:val="18"/>
                <w:szCs w:val="18"/>
                <w:color w:val="auto"/>
              </w:rPr>
            </w:pPr>
          </w:p>
        </w:tc>
      </w:tr>
      <w:tr>
        <w:trPr>
          <w:trHeight w:val="210"/>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8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w:t>
            </w:r>
          </w:p>
        </w:tc>
        <w:tc>
          <w:tcPr>
            <w:tcW w:w="160" w:type="dxa"/>
            <w:vAlign w:val="bottom"/>
            <w:shd w:val="clear" w:color="auto" w:fill="CCEEFF"/>
          </w:tcPr>
          <w:p>
            <w:pPr>
              <w:spacing w:after="0"/>
              <w:rPr>
                <w:sz w:val="18"/>
                <w:szCs w:val="18"/>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3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Earnings (loss) per share: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8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8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53,208,538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51,321,026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53,076,733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51,252,581</w:t>
            </w:r>
          </w:p>
        </w:tc>
        <w:tc>
          <w:tcPr>
            <w:tcW w:w="160" w:type="dxa"/>
            <w:vAlign w:val="bottom"/>
            <w:shd w:val="clear" w:color="auto" w:fill="CCEEFF"/>
          </w:tcPr>
          <w:p>
            <w:pPr>
              <w:spacing w:after="0"/>
              <w:rPr>
                <w:sz w:val="18"/>
                <w:szCs w:val="18"/>
                <w:color w:val="auto"/>
              </w:rPr>
            </w:pPr>
          </w:p>
        </w:tc>
      </w:tr>
      <w:tr>
        <w:trPr>
          <w:trHeight w:val="233"/>
        </w:trPr>
        <w:tc>
          <w:tcPr>
            <w:tcW w:w="3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53,385,111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51,321,026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53,272,973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51,430,205</w:t>
            </w:r>
          </w:p>
        </w:tc>
        <w:tc>
          <w:tcPr>
            <w:tcW w:w="160" w:type="dxa"/>
            <w:vAlign w:val="bottom"/>
          </w:tcPr>
          <w:p>
            <w:pPr>
              <w:spacing w:after="0"/>
              <w:rPr>
                <w:sz w:val="20"/>
                <w:szCs w:val="20"/>
                <w:color w:val="auto"/>
              </w:rPr>
            </w:pPr>
          </w:p>
        </w:tc>
      </w:tr>
    </w:tbl>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04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3"/>
                <w:szCs w:val="13"/>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204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2"/>
                <w:szCs w:val="12"/>
                <w:color w:val="auto"/>
              </w:rPr>
            </w:pPr>
          </w:p>
        </w:tc>
        <w:tc>
          <w:tcPr>
            <w:tcW w:w="9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2"/>
                <w:szCs w:val="12"/>
                <w:color w:val="auto"/>
              </w:rPr>
            </w:pPr>
          </w:p>
        </w:tc>
        <w:tc>
          <w:tcPr>
            <w:tcW w:w="720" w:type="dxa"/>
            <w:vAlign w:val="bottom"/>
          </w:tcPr>
          <w:p>
            <w:pPr>
              <w:jc w:val="center"/>
              <w:ind w:right="68"/>
              <w:spacing w:after="0" w:line="142" w:lineRule="exact"/>
              <w:rPr>
                <w:sz w:val="20"/>
                <w:szCs w:val="20"/>
                <w:color w:val="auto"/>
              </w:rPr>
            </w:pPr>
            <w:r>
              <w:rPr>
                <w:rFonts w:ascii="Times New Roman" w:cs="Times New Roman" w:eastAsia="Times New Roman" w:hAnsi="Times New Roman"/>
                <w:sz w:val="14"/>
                <w:szCs w:val="14"/>
                <w:color w:val="auto"/>
              </w:rPr>
              <w:t>e</w:t>
            </w:r>
            <w:r>
              <w:rPr>
                <w:rFonts w:ascii="Times New Roman" w:cs="Times New Roman" w:eastAsia="Times New Roman" w:hAnsi="Times New Roman"/>
                <w:sz w:val="14"/>
                <w:szCs w:val="14"/>
                <w:b w:val="1"/>
                <w:bCs w:val="1"/>
                <w:color w:val="auto"/>
              </w:rPr>
              <w:t>quity</w:t>
            </w:r>
          </w:p>
        </w:tc>
        <w:tc>
          <w:tcPr>
            <w:tcW w:w="0" w:type="dxa"/>
            <w:vAlign w:val="bottom"/>
          </w:tcPr>
          <w:p>
            <w:pPr>
              <w:spacing w:after="0"/>
              <w:rPr>
                <w:sz w:val="1"/>
                <w:szCs w:val="1"/>
                <w:color w:val="auto"/>
              </w:rPr>
            </w:pP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720" w:type="dxa"/>
            <w:vAlign w:val="bottom"/>
            <w:tcBorders>
              <w:top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52,954,430</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311,739</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133,271</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445,015</w:t>
            </w:r>
          </w:p>
        </w:tc>
        <w:tc>
          <w:tcPr>
            <w:tcW w:w="0" w:type="dxa"/>
            <w:vAlign w:val="bottom"/>
          </w:tcPr>
          <w:p>
            <w:pPr>
              <w:spacing w:after="0"/>
              <w:rPr>
                <w:sz w:val="1"/>
                <w:szCs w:val="1"/>
                <w:color w:val="auto"/>
              </w:rPr>
            </w:pPr>
          </w:p>
        </w:tc>
      </w:tr>
      <w:tr>
        <w:trPr>
          <w:trHeight w:val="148"/>
        </w:trPr>
        <w:tc>
          <w:tcPr>
            <w:tcW w:w="3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Equity Incentive Plan</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54,596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surrendered for tax withholdings on equity awards</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6,277</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6,277</w:t>
            </w:r>
          </w:p>
        </w:tc>
        <w:tc>
          <w:tcPr>
            <w:tcW w:w="0" w:type="dxa"/>
            <w:vAlign w:val="bottom"/>
          </w:tcPr>
          <w:p>
            <w:pPr>
              <w:spacing w:after="0"/>
              <w:rPr>
                <w:sz w:val="1"/>
                <w:szCs w:val="1"/>
                <w:color w:val="auto"/>
              </w:rPr>
            </w:pPr>
          </w:p>
        </w:tc>
      </w:tr>
      <w:tr>
        <w:trPr>
          <w:trHeight w:val="142"/>
        </w:trPr>
        <w:tc>
          <w:tcPr>
            <w:tcW w:w="38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March 31, 2024</w:t>
            </w:r>
          </w:p>
        </w:tc>
        <w:tc>
          <w:tcPr>
            <w:tcW w:w="720" w:type="dxa"/>
            <w:vAlign w:val="bottom"/>
          </w:tcPr>
          <w:p>
            <w:pPr>
              <w:jc w:val="right"/>
              <w:ind w:right="598"/>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53,009,026</w:t>
            </w:r>
          </w:p>
        </w:tc>
        <w:tc>
          <w:tcPr>
            <w:tcW w:w="18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312,430</w:t>
            </w:r>
          </w:p>
        </w:tc>
        <w:tc>
          <w:tcPr>
            <w:tcW w:w="18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139,548</w:t>
            </w:r>
          </w:p>
        </w:tc>
        <w:tc>
          <w:tcPr>
            <w:tcW w:w="18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451,983</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1,144</w:t>
            </w:r>
          </w:p>
        </w:tc>
        <w:tc>
          <w:tcPr>
            <w:tcW w:w="0" w:type="dxa"/>
            <w:vAlign w:val="bottom"/>
          </w:tcPr>
          <w:p>
            <w:pPr>
              <w:spacing w:after="0"/>
              <w:rPr>
                <w:sz w:val="1"/>
                <w:szCs w:val="1"/>
                <w:color w:val="auto"/>
              </w:rPr>
            </w:pPr>
          </w:p>
        </w:tc>
      </w:tr>
      <w:tr>
        <w:trPr>
          <w:trHeight w:val="148"/>
        </w:trPr>
        <w:tc>
          <w:tcPr>
            <w:tcW w:w="3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Employee Stock Purchase Plan</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48,202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Equity Incentive Plan</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26,986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surrendered for tax withholdings on equity awards</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(3,637)</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(3,637)</w:t>
            </w:r>
          </w:p>
        </w:tc>
        <w:tc>
          <w:tcPr>
            <w:tcW w:w="0" w:type="dxa"/>
            <w:vAlign w:val="bottom"/>
          </w:tcPr>
          <w:p>
            <w:pPr>
              <w:spacing w:after="0"/>
              <w:rPr>
                <w:sz w:val="1"/>
                <w:szCs w:val="1"/>
                <w:color w:val="auto"/>
              </w:rPr>
            </w:pPr>
          </w:p>
        </w:tc>
      </w:tr>
      <w:tr>
        <w:trPr>
          <w:trHeight w:val="142"/>
        </w:trPr>
        <w:tc>
          <w:tcPr>
            <w:tcW w:w="38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June 30, 2024</w:t>
            </w:r>
          </w:p>
        </w:tc>
        <w:tc>
          <w:tcPr>
            <w:tcW w:w="720" w:type="dxa"/>
            <w:vAlign w:val="bottom"/>
            <w:tcBorders>
              <w:top w:val="single" w:sz="8" w:color="auto"/>
            </w:tcBorders>
          </w:tcPr>
          <w:p>
            <w:pPr>
              <w:jc w:val="right"/>
              <w:ind w:right="598"/>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53,084,214</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313,883</w:t>
            </w:r>
          </w:p>
        </w:tc>
        <w:tc>
          <w:tcPr>
            <w:tcW w:w="180" w:type="dxa"/>
            <w:vAlign w:val="bottom"/>
          </w:tcPr>
          <w:p>
            <w:pPr>
              <w:spacing w:after="0"/>
              <w:rPr>
                <w:sz w:val="12"/>
                <w:szCs w:val="12"/>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135,911</w:t>
            </w:r>
          </w:p>
        </w:tc>
        <w:tc>
          <w:tcPr>
            <w:tcW w:w="180" w:type="dxa"/>
            <w:vAlign w:val="bottom"/>
          </w:tcPr>
          <w:p>
            <w:pPr>
              <w:spacing w:after="0"/>
              <w:rPr>
                <w:sz w:val="12"/>
                <w:szCs w:val="12"/>
                <w:color w:val="auto"/>
              </w:rPr>
            </w:pPr>
          </w:p>
        </w:tc>
        <w:tc>
          <w:tcPr>
            <w:tcW w:w="18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449,799</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1,216</w:t>
            </w:r>
          </w:p>
        </w:tc>
        <w:tc>
          <w:tcPr>
            <w:tcW w:w="0" w:type="dxa"/>
            <w:vAlign w:val="bottom"/>
          </w:tcPr>
          <w:p>
            <w:pPr>
              <w:spacing w:after="0"/>
              <w:rPr>
                <w:sz w:val="1"/>
                <w:szCs w:val="1"/>
                <w:color w:val="auto"/>
              </w:rPr>
            </w:pPr>
          </w:p>
        </w:tc>
      </w:tr>
      <w:tr>
        <w:trPr>
          <w:trHeight w:val="149"/>
        </w:trPr>
        <w:tc>
          <w:tcPr>
            <w:tcW w:w="3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Equity Incentive Plan</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126,628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surrendered for tax withholdings on equity awards</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509</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142"/>
        </w:trPr>
        <w:tc>
          <w:tcPr>
            <w:tcW w:w="38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September 30, 2024</w:t>
            </w:r>
          </w:p>
        </w:tc>
        <w:tc>
          <w:tcPr>
            <w:tcW w:w="720" w:type="dxa"/>
            <w:vAlign w:val="bottom"/>
            <w:tcBorders>
              <w:bottom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53,210,842</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315,099</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136,420</w:t>
            </w: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451,524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820" w:type="dxa"/>
            <w:vAlign w:val="bottom"/>
          </w:tcPr>
          <w:p>
            <w:pPr>
              <w:spacing w:after="0"/>
              <w:rPr>
                <w:sz w:val="24"/>
                <w:szCs w:val="24"/>
                <w:color w:val="auto"/>
              </w:rPr>
            </w:pPr>
          </w:p>
        </w:tc>
        <w:tc>
          <w:tcPr>
            <w:tcW w:w="204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4"/>
                <w:szCs w:val="24"/>
                <w:color w:val="auto"/>
              </w:rPr>
            </w:pPr>
          </w:p>
        </w:tc>
        <w:tc>
          <w:tcPr>
            <w:tcW w:w="9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24"/>
                <w:szCs w:val="24"/>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204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2"/>
                <w:szCs w:val="12"/>
                <w:color w:val="auto"/>
              </w:rPr>
            </w:pPr>
          </w:p>
        </w:tc>
        <w:tc>
          <w:tcPr>
            <w:tcW w:w="9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2"/>
                <w:szCs w:val="12"/>
                <w:color w:val="auto"/>
              </w:rPr>
            </w:pPr>
          </w:p>
        </w:tc>
        <w:tc>
          <w:tcPr>
            <w:tcW w:w="720" w:type="dxa"/>
            <w:vAlign w:val="bottom"/>
          </w:tcPr>
          <w:p>
            <w:pPr>
              <w:jc w:val="center"/>
              <w:ind w:right="68"/>
              <w:spacing w:after="0" w:line="142" w:lineRule="exact"/>
              <w:rPr>
                <w:sz w:val="20"/>
                <w:szCs w:val="20"/>
                <w:color w:val="auto"/>
              </w:rPr>
            </w:pPr>
            <w:r>
              <w:rPr>
                <w:rFonts w:ascii="Times New Roman" w:cs="Times New Roman" w:eastAsia="Times New Roman" w:hAnsi="Times New Roman"/>
                <w:sz w:val="14"/>
                <w:szCs w:val="14"/>
                <w:color w:val="auto"/>
              </w:rPr>
              <w:t>e</w:t>
            </w:r>
            <w:r>
              <w:rPr>
                <w:rFonts w:ascii="Times New Roman" w:cs="Times New Roman" w:eastAsia="Times New Roman" w:hAnsi="Times New Roman"/>
                <w:sz w:val="14"/>
                <w:szCs w:val="14"/>
                <w:b w:val="1"/>
                <w:bCs w:val="1"/>
                <w:color w:val="auto"/>
              </w:rPr>
              <w:t>quity</w:t>
            </w:r>
          </w:p>
        </w:tc>
        <w:tc>
          <w:tcPr>
            <w:tcW w:w="0" w:type="dxa"/>
            <w:vAlign w:val="bottom"/>
          </w:tcPr>
          <w:p>
            <w:pPr>
              <w:spacing w:after="0"/>
              <w:rPr>
                <w:sz w:val="1"/>
                <w:szCs w:val="1"/>
                <w:color w:val="auto"/>
              </w:rPr>
            </w:pP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2022</w:t>
            </w:r>
          </w:p>
        </w:tc>
        <w:tc>
          <w:tcPr>
            <w:tcW w:w="720" w:type="dxa"/>
            <w:vAlign w:val="bottom"/>
            <w:tcBorders>
              <w:top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51,189,461</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306,141</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138,834</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444,980</w:t>
            </w:r>
          </w:p>
        </w:tc>
        <w:tc>
          <w:tcPr>
            <w:tcW w:w="0" w:type="dxa"/>
            <w:vAlign w:val="bottom"/>
          </w:tcPr>
          <w:p>
            <w:pPr>
              <w:spacing w:after="0"/>
              <w:rPr>
                <w:sz w:val="1"/>
                <w:szCs w:val="1"/>
                <w:color w:val="auto"/>
              </w:rPr>
            </w:pPr>
          </w:p>
        </w:tc>
      </w:tr>
      <w:tr>
        <w:trPr>
          <w:trHeight w:val="148"/>
        </w:trPr>
        <w:tc>
          <w:tcPr>
            <w:tcW w:w="3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2,731</w:t>
            </w: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Equity Incentive Plan</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31,925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surrendered for tax withholdings on equity awards</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2"/>
        </w:trPr>
        <w:tc>
          <w:tcPr>
            <w:tcW w:w="38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March 31, 2023</w:t>
            </w:r>
          </w:p>
        </w:tc>
        <w:tc>
          <w:tcPr>
            <w:tcW w:w="720" w:type="dxa"/>
            <w:vAlign w:val="bottom"/>
          </w:tcPr>
          <w:p>
            <w:pPr>
              <w:jc w:val="right"/>
              <w:ind w:right="598"/>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51,221,386</w:t>
            </w:r>
          </w:p>
        </w:tc>
        <w:tc>
          <w:tcPr>
            <w:tcW w:w="18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308,802</w:t>
            </w:r>
          </w:p>
        </w:tc>
        <w:tc>
          <w:tcPr>
            <w:tcW w:w="18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138,839</w:t>
            </w:r>
          </w:p>
        </w:tc>
        <w:tc>
          <w:tcPr>
            <w:tcW w:w="18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447,646</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3,028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3,028</w:t>
            </w:r>
          </w:p>
        </w:tc>
        <w:tc>
          <w:tcPr>
            <w:tcW w:w="0" w:type="dxa"/>
            <w:vAlign w:val="bottom"/>
          </w:tcPr>
          <w:p>
            <w:pPr>
              <w:spacing w:after="0"/>
              <w:rPr>
                <w:sz w:val="1"/>
                <w:szCs w:val="1"/>
                <w:color w:val="auto"/>
              </w:rPr>
            </w:pPr>
          </w:p>
        </w:tc>
      </w:tr>
      <w:tr>
        <w:trPr>
          <w:trHeight w:val="149"/>
        </w:trPr>
        <w:tc>
          <w:tcPr>
            <w:tcW w:w="3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Employee Stock Purchase Plan</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21,551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Equity Incentive Plan</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7,470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(2,688)</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(2,688)</w:t>
            </w:r>
          </w:p>
        </w:tc>
        <w:tc>
          <w:tcPr>
            <w:tcW w:w="0" w:type="dxa"/>
            <w:vAlign w:val="bottom"/>
          </w:tcPr>
          <w:p>
            <w:pPr>
              <w:spacing w:after="0"/>
              <w:rPr>
                <w:sz w:val="1"/>
                <w:szCs w:val="1"/>
                <w:color w:val="auto"/>
              </w:rPr>
            </w:pP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June 30, 2023</w:t>
            </w:r>
          </w:p>
        </w:tc>
        <w:tc>
          <w:tcPr>
            <w:tcW w:w="720" w:type="dxa"/>
            <w:vAlign w:val="bottom"/>
            <w:tcBorders>
              <w:top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51,250,407</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312,108</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136,151</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448,264</w:t>
            </w:r>
          </w:p>
        </w:tc>
        <w:tc>
          <w:tcPr>
            <w:tcW w:w="0" w:type="dxa"/>
            <w:vAlign w:val="bottom"/>
          </w:tcPr>
          <w:p>
            <w:pPr>
              <w:spacing w:after="0"/>
              <w:rPr>
                <w:sz w:val="1"/>
                <w:szCs w:val="1"/>
                <w:color w:val="auto"/>
              </w:rPr>
            </w:pPr>
          </w:p>
        </w:tc>
      </w:tr>
      <w:tr>
        <w:trPr>
          <w:trHeight w:val="149"/>
        </w:trPr>
        <w:tc>
          <w:tcPr>
            <w:tcW w:w="3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3,180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3,180</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Equity Incentive Plan</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78,393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surrendered for tax withholdings on equity awards</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42"/>
        </w:trPr>
        <w:tc>
          <w:tcPr>
            <w:tcW w:w="38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September 30, 2023</w:t>
            </w:r>
          </w:p>
        </w:tc>
        <w:tc>
          <w:tcPr>
            <w:tcW w:w="720" w:type="dxa"/>
            <w:vAlign w:val="bottom"/>
            <w:tcBorders>
              <w:top w:val="single" w:sz="8" w:color="auto"/>
              <w:bottom w:val="single" w:sz="8" w:color="auto"/>
            </w:tcBorders>
          </w:tcPr>
          <w:p>
            <w:pPr>
              <w:jc w:val="right"/>
              <w:ind w:right="598"/>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51,328,800</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315,254</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136,003</w:t>
            </w:r>
          </w:p>
        </w:tc>
        <w:tc>
          <w:tcPr>
            <w:tcW w:w="1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451,262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380" w:type="dxa"/>
            <w:vAlign w:val="bottom"/>
            <w:gridSpan w:val="2"/>
          </w:tcPr>
          <w:p>
            <w:pPr>
              <w:jc w:val="right"/>
              <w:ind w:right="96"/>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3,149</w:t>
            </w:r>
          </w:p>
        </w:tc>
        <w:tc>
          <w:tcPr>
            <w:tcW w:w="40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used in operating activities:</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10,945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7,585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operating lease assets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 reserve</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Provision for doubtful accounts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liability</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8,939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financing costs</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(62,587)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(168,313)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Deposits, prepaid expenses, and other current assets</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(5,673)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Advance vendor payments</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(8,212)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4,973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(5,015)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Lessee and customer purchase deposits</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(10,641)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Borders>
              <w:bottom w:val="single" w:sz="8" w:color="CCEEFF"/>
            </w:tcBorders>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(26,354)</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(168,051)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sale of assets</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14,450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Acquisition of aircraft and engines held for lease, including capitalized cost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(6,488)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(8,768)</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(7,766)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(11,456)</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6,684</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8,559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Repayments of long-term debt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(8,605)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132,294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Repayments of revolving credit facility</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(82,781)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the issuance of Employee Stock Purchase Plan shares</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41,724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17,333</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3,914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(144,034)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5,873</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147,188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2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9,787</w:t>
            </w:r>
          </w:p>
        </w:tc>
        <w:tc>
          <w:tcPr>
            <w:tcW w:w="180" w:type="dxa"/>
            <w:vAlign w:val="bottom"/>
          </w:tcPr>
          <w:p>
            <w:pPr>
              <w:spacing w:after="0"/>
              <w:rPr>
                <w:sz w:val="15"/>
                <w:szCs w:val="15"/>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3,154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 of cash activities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 payments, net</w:t>
            </w:r>
          </w:p>
        </w:tc>
        <w:tc>
          <w:tcPr>
            <w:tcW w:w="380" w:type="dxa"/>
            <w:vAlign w:val="bottom"/>
            <w:gridSpan w:val="2"/>
            <w:shd w:val="clear" w:color="auto" w:fill="CCEEFF"/>
          </w:tcPr>
          <w:p>
            <w:pPr>
              <w:jc w:val="right"/>
              <w:ind w:right="96"/>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40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380" w:type="dxa"/>
            <w:vAlign w:val="bottom"/>
            <w:gridSpan w:val="2"/>
          </w:tcPr>
          <w:p>
            <w:pPr>
              <w:jc w:val="right"/>
              <w:ind w:right="96"/>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4,173</w:t>
            </w:r>
          </w:p>
        </w:tc>
        <w:tc>
          <w:tcPr>
            <w:tcW w:w="40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 of noncash investing activities</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Reclassification of aircraft and aircraft engines inventory to (from) aircraft and engine held for lease, net</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12,711</w:t>
            </w:r>
          </w:p>
        </w:tc>
        <w:tc>
          <w:tcPr>
            <w:tcW w:w="40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A — DESCRIPTION OF THE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spacing w:after="0" w:line="176" w:lineRule="exact"/>
        <w:rPr>
          <w:sz w:val="20"/>
          <w:szCs w:val="20"/>
          <w:color w:val="auto"/>
        </w:rPr>
      </w:pPr>
    </w:p>
    <w:p>
      <w:pPr>
        <w:jc w:val="both"/>
        <w:ind w:left="60" w:right="59" w:firstLine="648"/>
        <w:spacing w:after="0" w:line="271" w:lineRule="auto"/>
        <w:rPr>
          <w:sz w:val="20"/>
          <w:szCs w:val="20"/>
          <w:color w:val="auto"/>
        </w:rPr>
      </w:pPr>
      <w:r>
        <w:rPr>
          <w:rFonts w:ascii="Times New Roman" w:cs="Times New Roman" w:eastAsia="Times New Roman" w:hAnsi="Times New Roman"/>
          <w:sz w:val="17"/>
          <w:szCs w:val="17"/>
          <w:color w:val="auto"/>
        </w:rPr>
        <w:t>On December 22, 2020, Monocle consummated the previously announced business combination pursuant to that certain Amended and Restated Agreement and Plan of Merger, dated September 8, 2020 (the “Merger Agreement”) by and among Monocle, AerSale Corporation (f/k/a Monocle Holdings Inc.), a Delaware corporation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we survived the Merger and became the successor issuer to Monocle by operation of Rule 12g-3 under the Exchange Act.</w:t>
      </w:r>
    </w:p>
    <w:p>
      <w:pPr>
        <w:spacing w:after="0" w:line="17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Business Combination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continued as a wholly owned subsidiary of the Company.</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Company’s corporate headquarters is based in Miami, Florida, with additional offices, hangars, and warehouses located globally.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from the books and records of the Company in accordance with Generally Accepted Accounting Principles in the United States (“U.S. GAAP”) for interim financial information and Rule 10-01 of Regulation S-X promulgated by the U.S. Securities and Exchange Commission, which permits reduced disclosures for interim periods. Although these interim consolidated financial statements do not include all of the information and footnotes required for complete annual consolidated financial statements, management believes all adjustments, consisting only of normal recurring adjustments, and disclosures necessary for a fair presentation of the accompanying condensed consolidated balance sheets, statements of operations, stockholders’ equity, and cash flows have been made. Unaudited interim results of operations and cash flows are not necessarily indicative of the results that may be expected for the full year. Unaudited interim condensed consolidated financial statements and footnotes should be read in conjunction with the audited consolidated financial statements and footnotes included in Part II, Item 8 of the Company’s Annual Report on Form 10-K for the year ended December 31, 2023 (the “2023 Form 10-K”), wherein a more complete discussion of significant accounting policies and certain other information can be found.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Products Revenue — Used Serviceable Material (“USM”) Sales</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Revenues from sales of USM are measured based on consideration specified in a contract with a customer, and excludes any sales commissions and taxes collected and remitted to government agencies. We recognize revenue when we satisfy a performance obligation by transferring control over a product or service to a customer. The parts are sold at a fixed price with no right of return. In determining the performance obligation, management has identified the promise in the contract to be the shipment of the spare parts to the customer. Title passes to the buyer when the goods are shipped, and the buyer is responsible for any loss in transit and the Company has a legal right to payment for the spare parts once shipped. We generally sell our USM products under standard 30-day payment terms, subject to certain exceptions. Customers neither have the right to return products nor do they have the right to extended financing. The Company has determined that physical acceptance of the spare parts to be a formality in accordance with Accounting Standards Codification (“ASC”) 606 – Revenue from Contracts with Customers (“ASC 606”).</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Spare parts revenue is based on a set price for a set number of parts as defined in the purchase order. The performance obligation is completed once the parts have shipped and as a result, all of the transaction price is allocated to that performance obligation. The Company has determined that it is appropriate to recognize spare parts sales at a point in time (i.e., the date the parts are shipped) in accordance with ASC 606.</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Products Revenue — Whole Asset Sales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Revenues from whole asset sales are measured based on consideration specified in the contract with the customer. The Company and customer enter into an agreement which outlines the place and date of sale, purchase price, condition of the whole asset, bill of sale and the assignment of rights and warranties from the Company to the customer. The Company has identified the transfer of the whole asset as the performance obligation. The transaction price is set at a fixed dollar amount per fixed quantity (number of whole assets) and is explicitly stated in each contract. Whole asset sales revenue is based on a set price for a set number of assets, which is allocated to the performance obligation discussed above, in its entirety. The Company has determined the date of transfer to the customer is the date the customer obtains control over the asset and would cause the revenue recognition. Payment is required in full upon customers’ acceptance of the whole asset on the date of the transfer, unless the Company extends credit terms to customers it deems creditworthy.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Leasing Revenue</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leases aircraft and engines (“Flight Equipment”) under operating leases that contain monthly base rent and reports rental income straight line over the life of the lease as it is earned. Additionally, the Company’s leases provide for supplemental rent, which is calculated based on actual hours or cycles of utilization and, for certain components, based on the amount of time until maintenance of that component is required. In certain leases, the Company records supplemental rent paid by the lessees as maintenance deposit payments and other liabilities in recognition of the Company’s contractual commitment to reimburse qualifying maintenance. Reimbursements to the lessees upon receipt of evidence of qualifying maintenance work are charged against the existing maintenance deposit payment liabilities. In leases where the Company is responsible for performing certain repairs or replacement of aircraft components or engines, supplemental rent is recorded as revenue in the period earned. In the event of premature lease termination or lessee default on the lease terms, revenue recognition will be discontinued when outstanding balances are beyond the customers’ deposits held. Flight Equipment leases are billed in accordance with the lease agreement and invoices are due upon receipt.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Services Revenue</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Revenues for services are recognized as performance obligations are fulfilled and the benefits are transferred to the customer. At contract inception, we evaluate if the contract should be accounted for as a single performance obligation or if the contract contains multiple performance obligations. In some cases, our service contract with the customer is considered one performance obligation as it includes factors such as the good or service being provided is significantly integrated with other promises in the contract, the service provided significantly modifies or customizes the other good or service or the goods or services are highly interdependent or interrelated with each other. If the contract has more than 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performance obligation, the Company determines the standalone price of each distinct good or service underlying each performance obligation and allocates the transaction price based on their relative standalone selling prices. The transaction price of a contract, which can include both fixed and variable amounts, is allocated to each performance obligation identified. Some contracts contain variable consideration, which could include incremental fees or penalty provisions related to performance. Variable consideration that can be reasonably estimated based on current assumptions and historical information is included in the transaction price at the inception of the contract but limited to the amount that is probable that a significant reversal in the amount of cumulative revenue recognized will not occur.</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most service contracts, our performance obligations are satisfied over time as work progresses or at a point in time based on transfer of control of products and services to our customers. We receive payments from our customers based on billing schedules or other terms as written in our contracts.</w:t>
      </w:r>
    </w:p>
    <w:p>
      <w:pPr>
        <w:spacing w:after="0" w:line="13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 our performance obligations that are satisfied over time, we measure progress in a manner that depicts the performance of transferring control to the customer. As such, we utilize the input method of cost-to-cost to recognize revenue over time as this depicts when control of the promised goods or services are transferred to the customer. Revenue is recognized based on the relationship of actual costs incurred to date to the estimated total cost at completion of the performance obligation. We are required to make certain judgments and estimates, including estimated revenue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 Under most of our maintenance, repair and overhaul (“MRO”) contracts, if the contract is terminated for convenience, we are entitled to payment for items delivered, fair compensation for work performed, the costs of settling and paying other claims and a reasonable profit on the costs incurred or committed.</w:t>
      </w:r>
    </w:p>
    <w:p>
      <w:pPr>
        <w:spacing w:after="0" w:line="151"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Changes in estimates and assumptions related to our arrangements accounted for using the input method based on labor hours are recorded using the cumulative catchup method of accounting. These changes are primarily adjustments to the estimated profitability for our long-term programs where we provide MRO services.</w:t>
      </w:r>
    </w:p>
    <w:p>
      <w:pPr>
        <w:spacing w:after="0" w:line="14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elected to use certain practical expedients permitted under ASC 606. Shipping and handling fees and costs incurred associated with outbound freight after control over a product has transferred to a customer are accounted for as a fulfillment cost and are included in cost of sales in our condensed consolidated statements of operations, and are not considered a performance obligation to our customers. Our reported revenue on our condensed consolidated statements of operations is net of any sales or related non-income taxes.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Revision of Prior Period Financial Statements</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Certain balances in the condensed consolidated balance sheet as of December 31, 2023, and the condensed consolidated statements of cash flows for the nine months ended September 30, 2023, have been reclassified to conform to the presentation in the condensed consolidated financial statements as of and for the three and nine months ended September 30, 2024, primarily the reclassification of amounts related to deposits for Flight Equipment purchases from deposits, prepaid expenses, and other current assets to advance vendor payments. Such reclassification did not impact net income (loss), stockholders’ equity or total cash flows from operating activities, and did not have a material impact on the condensed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Adopted</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would require additional transparency for income tax disclosures, including the income tax rate reconciliation table and cash taxes paid both in the United States and foreign jurisdictions. This standard is effective for annual periods beginning after December 15, 2024. We are currently assessing the impact this standard will have on our disclosures.</w:t>
      </w:r>
    </w:p>
    <w:p>
      <w:pPr>
        <w:spacing w:after="0" w:line="14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other accounting pronouncements issued but not yet adopted by us which are expected to have a material impact on our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C — REVENUE</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timing of revenue recognition, customer billings, and cash collections results in a contract asset or contract liability at the end of each reporting period. Contract assets consist of unbilled receivables or costs incurred where revenue recognized over time exceeds the amounts billed to customers. We record a receivable when revenue is recognized prior to invoicing and we have an unconditional right to consideration (only the passage of time is required before payment of that consideration is due) and a contract asset when the right to payment is conditional upon our future performance. Contract liabilities include advance payments and billings in excess of revenue recognized. Certain customers make advance payments prior to our satisfaction of our performance obligations on the contract. These amounts are recorded as contract liabilities until such performance obligations are satisfied. Contract assets and contract liabilities are determined on a contract by contract basis.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 assets are as follows (in thousands):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r>
    </w:tbl>
    <w:p>
      <w:pPr>
        <w:spacing w:after="0" w:line="19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Contract assets are reported within deposits, prepaid expenses, and other current assets on our condensed consolidated balance sheets. Changes in contract assets primarily result from the timing difference between the performance of services. Contract liabilities are reported as deferred revenue on our condensed consolidated balance sheets and amounted to $3.0 million as of December 31, 2023, of which $2.7 million was related to contract liabilities for services to be performed. For the three and nine months ended September 30, 2024, the Company recognized as revenue $0.1 million and $2.5 million of contract liabilities included in the deferred revenue beginning balance for services performed as the timing between customer payments and our performance of the services is generally no longer than six months.</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reports revenue by segment. The following tables present revenue by segment, as well as a reconciliation to total revenue for the three and nine months ended September 30, 2024 and 2023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6"/>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164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Tech Ops</w:t>
            </w:r>
          </w:p>
        </w:tc>
        <w:tc>
          <w:tcPr>
            <w:tcW w:w="16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40" w:type="dxa"/>
            <w:vAlign w:val="bottom"/>
          </w:tcPr>
          <w:p>
            <w:pPr>
              <w:spacing w:after="0"/>
              <w:rPr>
                <w:sz w:val="12"/>
                <w:szCs w:val="12"/>
                <w:color w:val="auto"/>
              </w:rPr>
            </w:pPr>
          </w:p>
        </w:tc>
        <w:tc>
          <w:tcPr>
            <w:tcW w:w="11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16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TechOps</w:t>
            </w:r>
          </w:p>
        </w:tc>
        <w:tc>
          <w:tcPr>
            <w:tcW w:w="14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173"/>
        </w:trPr>
        <w:tc>
          <w:tcPr>
            <w:tcW w:w="20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$ 3,718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$ 13,211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79,147</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0" w:type="dxa"/>
            <w:vAlign w:val="bottom"/>
          </w:tcPr>
          <w:p>
            <w:pPr>
              <w:spacing w:after="0"/>
              <w:rPr>
                <w:sz w:val="1"/>
                <w:szCs w:val="1"/>
                <w:color w:val="auto"/>
              </w:rPr>
            </w:pPr>
          </w:p>
        </w:tc>
      </w:tr>
      <w:tr>
        <w:trPr>
          <w:trHeight w:val="210"/>
        </w:trPr>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43,514</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47,719</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137,207</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15,420</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152,627</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Leasing</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14,268</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28,065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83,430</w:t>
            </w: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50,414</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$32,270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151,475</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$ 98,850</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250,325</w:t>
            </w:r>
          </w:p>
        </w:tc>
        <w:tc>
          <w:tcPr>
            <w:tcW w:w="0" w:type="dxa"/>
            <w:vAlign w:val="bottom"/>
          </w:tcPr>
          <w:p>
            <w:pPr>
              <w:spacing w:after="0"/>
              <w:rPr>
                <w:sz w:val="1"/>
                <w:szCs w:val="1"/>
                <w:color w:val="auto"/>
              </w:rPr>
            </w:pPr>
          </w:p>
        </w:tc>
      </w:tr>
      <w:tr>
        <w:trPr>
          <w:trHeight w:val="378"/>
        </w:trPr>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164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Tech Ops</w:t>
            </w:r>
          </w:p>
        </w:tc>
        <w:tc>
          <w:tcPr>
            <w:tcW w:w="16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40" w:type="dxa"/>
            <w:vAlign w:val="bottom"/>
          </w:tcPr>
          <w:p>
            <w:pPr>
              <w:spacing w:after="0"/>
              <w:rPr>
                <w:sz w:val="12"/>
                <w:szCs w:val="12"/>
                <w:color w:val="auto"/>
              </w:rPr>
            </w:pPr>
          </w:p>
        </w:tc>
        <w:tc>
          <w:tcPr>
            <w:tcW w:w="11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16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TechOps</w:t>
            </w:r>
          </w:p>
        </w:tc>
        <w:tc>
          <w:tcPr>
            <w:tcW w:w="14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173"/>
        </w:trPr>
        <w:tc>
          <w:tcPr>
            <w:tcW w:w="20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$ 3,884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$ 9,709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59,057</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89,811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90,029</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09"/>
        </w:trPr>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62,566</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66,842</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139,159</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149,960</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Leasing</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23,154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78,725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78,725</w:t>
            </w:r>
          </w:p>
        </w:tc>
        <w:tc>
          <w:tcPr>
            <w:tcW w:w="0" w:type="dxa"/>
            <w:vAlign w:val="bottom"/>
          </w:tcPr>
          <w:p>
            <w:pPr>
              <w:spacing w:after="0"/>
              <w:rPr>
                <w:sz w:val="1"/>
                <w:szCs w:val="1"/>
                <w:color w:val="auto"/>
              </w:rPr>
            </w:pPr>
          </w:p>
        </w:tc>
      </w:tr>
      <w:tr>
        <w:trPr>
          <w:trHeight w:val="209"/>
        </w:trPr>
        <w:tc>
          <w:tcPr>
            <w:tcW w:w="20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65,054</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$27,430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150,555</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$ 89,526</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240,081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D — INVENTORY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Following are the major classes of inventory as of the below dates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40" w:type="dxa"/>
            <w:vAlign w:val="bottom"/>
            <w:tcBorders>
              <w:bottom w:val="single" w:sz="8" w:color="CCEEFF"/>
            </w:tcBorders>
          </w:tcPr>
          <w:p>
            <w:pPr>
              <w:spacing w:after="0"/>
              <w:rPr>
                <w:sz w:val="15"/>
                <w:szCs w:val="15"/>
                <w:color w:val="auto"/>
              </w:rPr>
            </w:pPr>
          </w:p>
        </w:tc>
        <w:tc>
          <w:tcPr>
            <w:tcW w:w="18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58,857</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Whole assets</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193,955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186,845</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Work-in-process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22,270</w:t>
            </w:r>
          </w:p>
        </w:tc>
      </w:tr>
      <w:tr>
        <w:trPr>
          <w:trHeight w:val="216"/>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MRO and engineered solutions</w:t>
            </w:r>
          </w:p>
        </w:tc>
        <w:tc>
          <w:tcPr>
            <w:tcW w:w="18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59,004</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61,196</w:t>
            </w:r>
          </w:p>
        </w:tc>
      </w:tr>
      <w:tr>
        <w:trPr>
          <w:trHeight w:val="209"/>
        </w:trPr>
        <w:tc>
          <w:tcPr>
            <w:tcW w:w="42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373,434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329,168</w:t>
            </w:r>
          </w:p>
        </w:tc>
      </w:tr>
      <w:tr>
        <w:trPr>
          <w:trHeight w:val="216"/>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Less short term</w:t>
            </w:r>
          </w:p>
        </w:tc>
        <w:tc>
          <w:tcPr>
            <w:tcW w:w="18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(263,728)</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(177,770)</w:t>
            </w:r>
          </w:p>
        </w:tc>
      </w:tr>
      <w:tr>
        <w:trPr>
          <w:trHeight w:val="209"/>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 term</w:t>
            </w:r>
          </w:p>
        </w:tc>
        <w:tc>
          <w:tcPr>
            <w:tcW w:w="18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109,706</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151,398</w:t>
            </w:r>
          </w:p>
        </w:tc>
      </w:tr>
      <w:tr>
        <w:trPr>
          <w:trHeight w:val="20"/>
        </w:trPr>
        <w:tc>
          <w:tcPr>
            <w:tcW w:w="4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inventory scrap loss reserves of $1.7 million and $2.0 million for the three and nine months ended September 30, 2024, respectively. The Company recorded inventory scrap loss reserves of $0.5 million and $1.3 million for the three and nine months ended September 30, 2023, respectively. Additions to inventory reserves are included in cost of products in the accompanying condensed consolidated statements of operations.</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allocation of inventory between short term and long term reflects the inventory’s operating cycle, which is longer than one year due to teardown and repair lead times. Inventory expected to be monetized within 18 months as well as work-in-process and inventory used in MROs are reported under current assets.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April 2024, one of the Company’s leased secondary parts warehouses in Roswell, New Mexico, was destroyed by a fire. Inside the warehouse were various aircraft parts typically sold by AerSale as USM. The replacement value of that inventory, which was also destroyed or rendered not sellable by the fire, is estimated at $67.6 million. AerSale carries insurance covering these parts, with a limit of $100 million and a $10,000 deductible, for which it has submitted a claim. The cost basis of the destroyed inventory is $6.0 million; accordingly, since the insurance claim has yet to be paid, the Company recorded an impairment of $6.0 million and a $6.0 million non-trade receivable within deposits, prepaid expenses, and other current assets, in the condensed consolidated balance sheets as of September 30, 2024. The recovery of the $6.0 million claim is deemed to be probable. Pursuant to ASC 450-30, </w:t>
      </w:r>
      <w:r>
        <w:rPr>
          <w:rFonts w:ascii="Times New Roman" w:cs="Times New Roman" w:eastAsia="Times New Roman" w:hAnsi="Times New Roman"/>
          <w:sz w:val="18"/>
          <w:szCs w:val="18"/>
          <w:i w:val="1"/>
          <w:iCs w:val="1"/>
          <w:color w:val="auto"/>
        </w:rPr>
        <w:t>Gain Contingencies</w:t>
      </w:r>
      <w:r>
        <w:rPr>
          <w:rFonts w:ascii="Times New Roman" w:cs="Times New Roman" w:eastAsia="Times New Roman" w:hAnsi="Times New Roman"/>
          <w:sz w:val="18"/>
          <w:szCs w:val="18"/>
          <w:color w:val="auto"/>
        </w:rPr>
        <w:t>, any higher amount than our book value that is to be collected from the insurance claim will not be recorded until the insurance claim is paid.</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E — INTANGIBLE ASSETS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(“ASC 350”), goodwill and other intangible assets deemed to have indefinite lives are not amortized, but are subject to annual impairment tests. The Company reviews and evaluates our goodwill and indefinite life intangible assets for potential impairment at a minimum annually or more frequently if circumstances indicate that impairment is possible.</w:t>
      </w:r>
    </w:p>
    <w:p>
      <w:pPr>
        <w:spacing w:after="0" w:line="18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determined the fair value of assets acquired and liabilities assumed using a variety of methods. An income approach based on discounted cash flows was used to determine the values of our trademarks, certifications, customer relationships and Federal Aviation Administration (“FAA”) certificates. The assumptions the Company used to estimate the fair value of our reporting units are based on historical performance, as well as forecasts used in our current business plan and require considerable management judgment.</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Company’s goodwill and intangible assets as defined by ASC 350 is primarily related to our subsidiaries, AerSale Component Solutions (d/b/a AerSale Landing Gear Solutions) (“ALGS”), Avborne Component Solutions (d/b/a AerSale Component Solutions) (“ACS”), and Aircraft Composite Technologies (“ACT”), which are included in the TechOps segment, as well as Qwest Air Parts (“Qwest”), which is included under the Asset Management Solutions segment. See Note L for information about our business segments.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Goodwill and other intangible assets, net as of the below dates are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Qwest:</w:t>
            </w:r>
          </w:p>
        </w:tc>
        <w:tc>
          <w:tcPr>
            <w:tcW w:w="1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88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5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ALGS:</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ACS:</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Trademarks</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Trademarks</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Certificates</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16"/>
        </w:trPr>
        <w:tc>
          <w:tcPr>
            <w:tcW w:w="4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r>
      <w:tr>
        <w:trPr>
          <w:trHeight w:val="209"/>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intangible assets with indefinite lives</w:t>
            </w:r>
          </w:p>
        </w:tc>
        <w:tc>
          <w:tcPr>
            <w:tcW w:w="15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r>
      <w:tr>
        <w:trPr>
          <w:trHeight w:val="20"/>
        </w:trPr>
        <w:tc>
          <w:tcPr>
            <w:tcW w:w="4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Intangible assets with definite useful lives are amortized on a straight-line basis over their estimated useful lives.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Intangible assets with definite lives as of the below dates are as follows (in thousands):</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4420" w:type="dxa"/>
            <w:vAlign w:val="bottom"/>
          </w:tcPr>
          <w:p>
            <w:pPr>
              <w:spacing w:after="0"/>
              <w:rPr>
                <w:sz w:val="15"/>
                <w:szCs w:val="15"/>
                <w:color w:val="auto"/>
              </w:rPr>
            </w:pPr>
          </w:p>
        </w:tc>
        <w:tc>
          <w:tcPr>
            <w:tcW w:w="1800" w:type="dxa"/>
            <w:vAlign w:val="bottom"/>
            <w:gridSpan w:val="2"/>
          </w:tcPr>
          <w:p>
            <w:pPr>
              <w:jc w:val="center"/>
              <w:ind w:left="993"/>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442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Qwest:</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800" w:type="dxa"/>
            <w:vAlign w:val="bottom"/>
            <w:gridSpan w:val="2"/>
          </w:tcPr>
          <w:p>
            <w:pPr>
              <w:jc w:val="center"/>
              <w:ind w:left="1013"/>
              <w:spacing w:after="0"/>
              <w:rPr>
                <w:sz w:val="20"/>
                <w:szCs w:val="20"/>
                <w:color w:val="auto"/>
              </w:rPr>
            </w:pPr>
            <w:r>
              <w:rPr>
                <w:rFonts w:ascii="Times New Roman" w:cs="Times New Roman" w:eastAsia="Times New Roman" w:hAnsi="Times New Roman"/>
                <w:sz w:val="18"/>
                <w:szCs w:val="18"/>
                <w:color w:val="auto"/>
                <w:w w:val="99"/>
              </w:rPr>
              <w:t>10</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ALGS: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800" w:type="dxa"/>
            <w:vAlign w:val="bottom"/>
            <w:gridSpan w:val="2"/>
          </w:tcPr>
          <w:p>
            <w:pPr>
              <w:jc w:val="center"/>
              <w:ind w:left="1013"/>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800" w:type="dxa"/>
            <w:vAlign w:val="bottom"/>
            <w:gridSpan w:val="2"/>
          </w:tcPr>
          <w:p>
            <w:pPr>
              <w:jc w:val="center"/>
              <w:ind w:left="1013"/>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800" w:type="dxa"/>
            <w:vAlign w:val="bottom"/>
            <w:gridSpan w:val="2"/>
          </w:tcPr>
          <w:p>
            <w:pPr>
              <w:jc w:val="center"/>
              <w:ind w:left="1013"/>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AerSale:</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AerAware Flight manuals</w:t>
            </w:r>
          </w:p>
        </w:tc>
        <w:tc>
          <w:tcPr>
            <w:tcW w:w="1800" w:type="dxa"/>
            <w:vAlign w:val="bottom"/>
            <w:tcBorders>
              <w:bottom w:val="single" w:sz="8" w:color="CCEEFF"/>
            </w:tcBorders>
            <w:gridSpan w:val="2"/>
          </w:tcPr>
          <w:p>
            <w:pPr>
              <w:jc w:val="center"/>
              <w:ind w:left="1013"/>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intangible assets with definite lives</w:t>
            </w:r>
          </w:p>
        </w:tc>
        <w:tc>
          <w:tcPr>
            <w:tcW w:w="1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11,656</w:t>
            </w:r>
          </w:p>
        </w:tc>
      </w:tr>
      <w:tr>
        <w:trPr>
          <w:trHeight w:val="20"/>
        </w:trPr>
        <w:tc>
          <w:tcPr>
            <w:tcW w:w="4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Total amortization expense amounted to $0.5 million for the three months ended September 30, 2024 and 2023. Total amortization expense amounted to $1.6 million for the nine months ended September 30, 2024 and 2023. Accumulated amortization amounted to $10.9 million and $9.3 million as of September 30, 2024 and December 31, 2023, respectively.</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first quarter of 2024, the Company identified a triggering event indicating the fair value of one or more of the Company’s reporting units more likely than not did not exceed their carrying values. The triggering event was due to the significant decline in the market price of the Company’s common stock during the quarter. As a result, the Company performed an interim quantitative goodwill impairment test for the Asset Management Solutions and ACT reporting units as of March 31, 2024 and determined that the fair values exceeded the carrying values for each reporting unit. Due to the lack of recovery in the stock price during the second and third quarter of 2024, the Company performed an interim quantitative goodwill impairment test for the Asset Management Solutions and ACT reporting units as of June 30, 2024 and September 30, 2024, and determined that the fair values exceeded the carrying values for each reporting unit. As such, the interim quantitative tests did not result in a goodwill impairment for the Company’s reporting units. In addition, the Company performed a qualitative assessment of long-lived assets and concluded it is not more likely than not that long-lived assets are impaired.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Other intangible assets are reviewed at least annually or more frequently if any event or change in circumstance indicates that an impairment may have occurred.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F — PROPERTY AND EQUIPMENT,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net, as of the below dates consisted of the following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3"/>
                <w:szCs w:val="13"/>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3"/>
        </w:trPr>
        <w:tc>
          <w:tcPr>
            <w:tcW w:w="52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Tooling and equipment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7 - 15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16,024</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Furniture and other equipment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Computer software</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Leasehold improvements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3 - 10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Equipment under capital lease</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Flight equipment held for R&amp;D</w:t>
            </w: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54,719</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Less accumulated depreciation</w:t>
            </w:r>
          </w:p>
        </w:tc>
        <w:tc>
          <w:tcPr>
            <w:tcW w:w="9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(29,970)</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(27,027)</w:t>
            </w: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32,710</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27,692</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Depreciation expense, which includes amortization of equipment under capital lease, amounted to $1.6 million and $0.9 million for the three months ended September 30, 2024 and 2023, respectively. Depreciation expense, which includes amortization of equipment under capital lease, amounted to $3.8 million and $2.7 million for the nine months ended September 30, 2024 and 2023,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G — LEASE RENTAL REVENUES AND AIRCRAFT AND ENGINES HELD FOR LEASE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Aircraft and engines held for lease, net, as of the below dates consisted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38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Aircraft and engines held for lease</w:t>
            </w:r>
          </w:p>
        </w:tc>
        <w:tc>
          <w:tcPr>
            <w:tcW w:w="17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58,136</w:t>
            </w:r>
          </w:p>
        </w:tc>
      </w:tr>
      <w:tr>
        <w:trPr>
          <w:trHeight w:val="216"/>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Less accumulated depreciation</w:t>
            </w:r>
          </w:p>
        </w:tc>
        <w:tc>
          <w:tcPr>
            <w:tcW w:w="17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(32,432)</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(31,661)</w:t>
            </w:r>
          </w:p>
        </w:tc>
      </w:tr>
      <w:tr>
        <w:trPr>
          <w:trHeight w:val="210"/>
        </w:trPr>
        <w:tc>
          <w:tcPr>
            <w:tcW w:w="43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40,163</w:t>
            </w: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26,475</w:t>
            </w:r>
          </w:p>
        </w:tc>
      </w:tr>
      <w:tr>
        <w:trPr>
          <w:trHeight w:val="20"/>
        </w:trPr>
        <w:tc>
          <w:tcPr>
            <w:tcW w:w="4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Total depreciation expense amounted to $2.4 million and $1.1 million for the three months ended September 30, 2024 and 2023, respectively. Total depreciation expense amounted to $5.5 million and $3.3 million for the nine months ended September 30, 2024 and 2023, respectively, and is included in cost of leasing in the condensed consolidated statements of operations.</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Supplemental rents recognized as revenue totaled $3.8 million and $0.9 million for the three months ended September 30, 2024 and 2023, respectively. Supplemental rents recognized as revenue totaled $7.6 million and $5.4 million for the nine months ended September 30, 2024 and 2023, respectively.</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current operating lease agreements for leased Flight Equipment expire over the next three years. The amounts in the following table are based upon the assumption that Flight Equipment under operating leases will remain leased for the length of time specified by the respective lease agreements. Minimum future annual lease rentals contracted to be received under existing operating leases of Flight Equipment were as follows (in thousands):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Remaining three months of 2024</w:t>
            </w:r>
          </w:p>
        </w:tc>
        <w:tc>
          <w:tcPr>
            <w:tcW w:w="298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w:t>
            </w:r>
          </w:p>
        </w:tc>
      </w:tr>
      <w:tr>
        <w:trPr>
          <w:trHeight w:val="243"/>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15,175</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r>
      <w:tr>
        <w:trPr>
          <w:trHeight w:val="216"/>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2027</w:t>
            </w:r>
          </w:p>
        </w:tc>
        <w:tc>
          <w:tcPr>
            <w:tcW w:w="24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09"/>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24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27,786</w:t>
            </w:r>
          </w:p>
        </w:tc>
      </w:tr>
      <w:tr>
        <w:trPr>
          <w:trHeight w:val="20"/>
        </w:trPr>
        <w:tc>
          <w:tcPr>
            <w:tcW w:w="49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H — ACCRUED EXPENSES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is a summary of the components of accrued expenses as of the below dates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compensation and related benefits</w:t>
            </w:r>
          </w:p>
        </w:tc>
        <w:tc>
          <w:tcPr>
            <w:tcW w:w="1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legal fees</w:t>
            </w: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Commission fee accrual</w:t>
            </w:r>
          </w:p>
        </w:tc>
        <w:tc>
          <w:tcPr>
            <w:tcW w:w="1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federal, state and local taxes and fees</w:t>
            </w: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09"/>
        </w:trPr>
        <w:tc>
          <w:tcPr>
            <w:tcW w:w="4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5,478</w:t>
            </w:r>
          </w:p>
        </w:tc>
      </w:tr>
      <w:tr>
        <w:trPr>
          <w:trHeight w:val="20"/>
        </w:trPr>
        <w:tc>
          <w:tcPr>
            <w:tcW w:w="4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I – WARRANT LIABILITY</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Warrants to purchase a total of 623,834 shares of the Company’s common stock were outstanding as of September 30, 2024 and December 31, 2023. 750,000 warrants were issued to founders in a private placement (the “Private Warrants”). Each of the Private Warrants entitles the registered holder to purchase one share of the Company’s common stock at a price of $11.50 per share, subject to adjustment. The outstanding Private Warrants will expire at 5:00 p.m., New York City time, on December 22, 2025, or earlier upon redemption or liquidation.</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Private Warrants include provisions that affect the settlement amount. Such variables are outside of those used to determine the fair value of a fixed-for-fixed instrument, and as such, the Private Warrants do not meet the criteria for equity treatment under guidance contained in ASC Topic 815, </w:t>
      </w:r>
      <w:r>
        <w:rPr>
          <w:rFonts w:ascii="Times New Roman" w:cs="Times New Roman" w:eastAsia="Times New Roman" w:hAnsi="Times New Roman"/>
          <w:sz w:val="18"/>
          <w:szCs w:val="18"/>
          <w:i w:val="1"/>
          <w:iCs w:val="1"/>
          <w:color w:val="auto"/>
        </w:rPr>
        <w:t>Accounting for Derivative Financial Instruments Indexed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and Potentially Settled in a Company’s Own Stock</w:t>
      </w:r>
      <w:r>
        <w:rPr>
          <w:rFonts w:ascii="Times New Roman" w:cs="Times New Roman" w:eastAsia="Times New Roman" w:hAnsi="Times New Roman"/>
          <w:sz w:val="18"/>
          <w:szCs w:val="18"/>
          <w:color w:val="auto"/>
        </w:rPr>
        <w:t>. The Company classifies the Private Warrants as a liability at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subject to re-measurement at each balance sheet date and adjusted at each reporting period until exercised or expired, and any change in fair value is recognized in the Company's condensed consolidated statements of operations. The fair value of the Private Warrants is determined using the Black-Scholes option pricing model. The following table represents the assumptions used in determining the fair value of the Private Warrants as of September 30, 2024 and December 31, 2023:</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6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Risk-free interest rate</w:t>
            </w:r>
          </w:p>
        </w:tc>
        <w:tc>
          <w:tcPr>
            <w:tcW w:w="1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3.58%</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volatility of common stock</w:t>
            </w: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41.22%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r>
      <w:tr>
        <w:trPr>
          <w:trHeight w:val="24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option term in years</w:t>
            </w:r>
          </w:p>
        </w:tc>
        <w:tc>
          <w:tcPr>
            <w:tcW w:w="1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significant assumptions utilized in the Black-Scholes calculation consist of interest rate for U.S. Treasury Bonds, as published by the U.S. Federal Reserve, and expected volatility estimated using historical daily volatility of guideline public companies.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J— FINANCING ARRANGEMENTS</w:t>
      </w:r>
    </w:p>
    <w:p>
      <w:pPr>
        <w:spacing w:after="0" w:line="229"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Outstanding debt obligations as of September 30, 2024 and December 31, 2023 consisted of the following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$180.0 million Wells Fargo Senior Secured Revolving Credit Agreement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$10.0 million Synovus Property and Equipment Revolving Term Loan</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8,559</w:t>
            </w: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37,559</w:t>
            </w: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 current portion</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10"/>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portion</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36,281</w:t>
            </w: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At September 30, 2024 and December 31, 2023, total deferred financing costs were $1.3 million and $1.5 million, respectively. Amortized debt issuance costs are recorded in interest (expense) income, net through maturity of the related debt using the straight-line method, which approximates the effective interest method. Amortization expense amounted to $0.1 million and $0.2 million for the three months and nine months ended September 30, 2024. Amortization expense amounted to $0.1 million and $0.3 million for the three and nine months ended September 30, 2023.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$180.0 million Wells Fargo Senior Secured Revolving Credit Agreement</w:t>
      </w:r>
    </w:p>
    <w:p>
      <w:pPr>
        <w:spacing w:after="0" w:line="22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July 20, 2018, the Company and other subsidiary borrowers signatory thereto entered into a secured amended and restated revolving credit agreement (as amended, the “Revolving Credit Agreement”), which initially provided for a $150.0 million aggregate amount of revolver commitments subject to borrowing base limitations. Effective July 25, 2023, the Company amended the Revolving Credit Agreement to increase the maximum commitments thereunder to $180.0 million aggregate amount, expandable to $200.0 million, subject to borrowing base limitations, and to extend the maturity date to July 24, 2028.</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interest rate applicable to loans outstanding on the Revolving Credit Agreement is a floating rate of interest per annum of Secured Overnight Financing Rate (“SOFR”) plus a margin of 2.50%. The applicable interest rate as of September 30, 2024 was 8.15%.</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ability to borrow on the Revolving Credit Agreement is subject to ongoing compliance by the Company and the borrowers with various customary affirmative and negative covenants. The Revolving Credit Agreement requires the Company and borrowers to meet certain financial and nonfinancial covenants. The Company was in compliance with these covenants as of September 30, 2024.</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$10.0 million Synovus Property and Equipment Revolving Term Loan</w:t>
      </w:r>
    </w:p>
    <w:p>
      <w:pPr>
        <w:spacing w:after="0" w:line="22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June 30, 2023, the Company entered into a Property and Equipment Revolving Term Loan (the “Equipment Loan”) with a total advance commitment of $10.0 million for the purpose of financing capital expenditures on property and equipment. This facility became a term loan during quarter ended June 30, 2024, with a maturity date of June 26, 2027. This loan is collateralized by the property and equipment it finances and requires principal and interest payments. The Equipment Loan bears interest at a rate per annum equal to 7.96%.</w:t>
      </w:r>
    </w:p>
    <w:p>
      <w:pPr>
        <w:spacing w:after="0" w:line="183"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Equipment Loan is subject to ongoing compliance by the Company in the form of various customary affirmative and negative covenants, as well as certain financial covenants. The Company was in compliance with these covenants as of September 30, 2024.</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schedule of payments on the Equipment Loan as of September 30, 2024 is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payments</w:t>
            </w:r>
          </w:p>
        </w:tc>
        <w:tc>
          <w:tcPr>
            <w:tcW w:w="1280" w:type="dxa"/>
            <w:vAlign w:val="bottom"/>
            <w:tcBorders>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0"/>
        </w:trPr>
        <w:tc>
          <w:tcPr>
            <w:tcW w:w="6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K — EARNINGS PER SHARE</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computation of basic and diluted earnings per share (“EPS”) is based on the weighted average number of common shares outstanding during each period. The following table provides a reconciliation of the computation for basic and diluted earnings per share for the three and nine months ended September 30, 2024 and 2023, respectively (in thousands, except share and per share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300" w:type="dxa"/>
            <w:vAlign w:val="bottom"/>
            <w:tcBorders>
              <w:bottom w:val="single" w:sz="8" w:color="auto"/>
            </w:tcBorders>
            <w:gridSpan w:val="5"/>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liability</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for EPS - Diluted</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0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shares outstanding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53,208,538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51,321,026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53,076,733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51,252,581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Additional shares from assumed exercise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177,624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Additional shares from assumed stock-settled</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Additional shares from assumed stock-settled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180,178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Additional shares from assumed issuance under the</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10,573</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Weighted-average number of shares outstanding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53,385,111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51,321,026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53,272,973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51,430,205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 basic:</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 diluted:</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0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Anti-dilutive shares/units excluded from earnings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 - diluted:</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Additional shares from assumed exercise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126,154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Additional shares from assumed stock-settled</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2,007,217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1,869,782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Additional shares from assumed issuance under the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L — BUSINESS SEGMENTS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Consistent with how our chief operating decision maker (Chairman and Chief Executive Officer) evaluates performance and utilizes gross profit as a profitability measure, the Company reports its activities in two business segments:</w:t>
      </w:r>
    </w:p>
    <w:p>
      <w:pPr>
        <w:spacing w:after="0" w:line="176" w:lineRule="exact"/>
        <w:rPr>
          <w:sz w:val="20"/>
          <w:szCs w:val="20"/>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Solutions — comprised of activities to extract value from strategic asset acquisitions through leasing, trading, or disassembling for product sales.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TechOps — comprised of MRO activities and product sales of internally developed engineered solutions and other serviceable products.</w:t>
      </w:r>
    </w:p>
    <w:p>
      <w:pPr>
        <w:spacing w:after="0" w:line="13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Asset Management Solutions segment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w:t>
      </w:r>
    </w:p>
    <w:p>
      <w:pPr>
        <w:spacing w:after="0" w:line="13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TechOps segment consists of aviation maintenance and services business that provide maintenance support for aircraft and aircraft components, and sale of engineered solutions. Our MRO business also engages in longer term projects such as aircraft modifications, cargo conversions of wide-body aircraft, and aircraft storage. The segment also includes MRO of landing gear, thrust reversers, and other components. Cost of sales consists principally of the cost of product, direct labor, and overhead. Our engineered solutions revenue consists of sales of products internally developed as permitted by Supplemental Type Certificates issued by the FAA. These products are proprietary in nature and function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non-original equipment manufacturer solutions for operators to airworthiness directives and other technical challenges. In order to develop these products, the Company engages in research and development activities, which are expensed as incurred. The TechOps segment also engages in the repair and sale of USM inventory for which it has the overhaul capabilities and relationships to sell.</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Gross profit is calculated by subtracting cost of sales from revenue. The assets and certain expenses related to corporate activities are not allocated to the segments. Our reportable segments are aligned principally around the differences in products and services. The segment reporting excludes the allocation of selling, general and administrative expenses, other interest income/expense, and income tax expense/benefit.</w:t>
      </w:r>
    </w:p>
    <w:p>
      <w:pPr>
        <w:spacing w:after="0" w:line="153"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Selected financial information for each segment for the three and nine months ended September 30, 2024 and 2023 is as follows (in thousands):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2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3"/>
                <w:szCs w:val="13"/>
                <w:color w:val="auto"/>
              </w:rPr>
            </w:pPr>
          </w:p>
        </w:tc>
        <w:tc>
          <w:tcPr>
            <w:tcW w:w="2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38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44,166</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117,087</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92,719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50,414</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65,054</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151,475</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23,154</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38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27,430</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98,850</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89,526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82,684</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92,484</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250,325</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240,081</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2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shd w:val="clear" w:color="auto" w:fill="CCEEFF"/>
          </w:tcPr>
          <w:p>
            <w:pPr>
              <w:spacing w:after="0"/>
              <w:rPr>
                <w:sz w:val="18"/>
                <w:szCs w:val="18"/>
                <w:color w:val="auto"/>
              </w:rPr>
            </w:pPr>
          </w:p>
        </w:tc>
        <w:tc>
          <w:tcPr>
            <w:tcW w:w="26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CCEEFF"/>
            </w:tcBorders>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2"/>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46,033</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19,288</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18,537</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57,301</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38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16,890</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23,474</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74,191</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68,005</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400,610</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Tech Ops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180,612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163,883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20,234</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601,456</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553,938</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252"/>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segment gross profit to income (loss) before income tax provision for the three and nine months ended September 30, 2024 and 2023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256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40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8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r>
      <w:tr>
        <w:trPr>
          <w:trHeight w:val="20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gross profit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68,005</w:t>
            </w:r>
          </w:p>
        </w:tc>
        <w:tc>
          <w:tcPr>
            <w:tcW w:w="140" w:type="dxa"/>
            <w:vAlign w:val="bottom"/>
            <w:shd w:val="clear" w:color="auto" w:fill="CCEEFF"/>
          </w:tcPr>
          <w:p>
            <w:pPr>
              <w:spacing w:after="0"/>
              <w:rPr>
                <w:sz w:val="18"/>
                <w:szCs w:val="18"/>
                <w:color w:val="auto"/>
              </w:rPr>
            </w:pPr>
          </w:p>
        </w:tc>
      </w:tr>
      <w:tr>
        <w:trPr>
          <w:trHeight w:val="216"/>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(77,724)</w:t>
            </w:r>
          </w:p>
        </w:tc>
        <w:tc>
          <w:tcPr>
            <w:tcW w:w="140" w:type="dxa"/>
            <w:vAlign w:val="bottom"/>
          </w:tcPr>
          <w:p>
            <w:pPr>
              <w:spacing w:after="0"/>
              <w:rPr>
                <w:sz w:val="18"/>
                <w:szCs w:val="18"/>
                <w:color w:val="auto"/>
              </w:rPr>
            </w:pPr>
          </w:p>
        </w:tc>
      </w:tr>
      <w:tr>
        <w:trPr>
          <w:trHeight w:val="216"/>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 (expense) income, net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40" w:type="dxa"/>
            <w:vAlign w:val="bottom"/>
            <w:shd w:val="clear" w:color="auto" w:fill="CCEEFF"/>
          </w:tcPr>
          <w:p>
            <w:pPr>
              <w:spacing w:after="0"/>
              <w:rPr>
                <w:sz w:val="18"/>
                <w:szCs w:val="18"/>
                <w:color w:val="auto"/>
              </w:rPr>
            </w:pPr>
          </w:p>
        </w:tc>
      </w:tr>
      <w:tr>
        <w:trPr>
          <w:trHeight w:val="216"/>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Other income, net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40" w:type="dxa"/>
            <w:vAlign w:val="bottom"/>
          </w:tcPr>
          <w:p>
            <w:pPr>
              <w:spacing w:after="0"/>
              <w:rPr>
                <w:sz w:val="18"/>
                <w:szCs w:val="18"/>
                <w:color w:val="auto"/>
              </w:rPr>
            </w:pPr>
          </w:p>
        </w:tc>
      </w:tr>
      <w:tr>
        <w:trPr>
          <w:trHeight w:val="216"/>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liability</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40" w:type="dxa"/>
            <w:vAlign w:val="bottom"/>
            <w:shd w:val="clear" w:color="auto" w:fill="CCEEFF"/>
          </w:tcPr>
          <w:p>
            <w:pPr>
              <w:spacing w:after="0"/>
              <w:rPr>
                <w:sz w:val="18"/>
                <w:szCs w:val="18"/>
                <w:color w:val="auto"/>
              </w:rPr>
            </w:pPr>
          </w:p>
        </w:tc>
      </w:tr>
      <w:tr>
        <w:trPr>
          <w:trHeight w:val="209"/>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provision</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4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Intersegment sales include amounts invoiced by a segment for work performed for another segment. Amounts are based on actual work performed or products sold and agreed-upon pricing which is intended to be reflective of the arm’s length value of the contribution made by the supplying business segment. All intersegment transactions have been eliminated upon consolidation. Intersegment revenue for the three and nine months ended September 30, 2024 and 2023, is as follows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24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2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16"/>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13,952</w:t>
            </w:r>
          </w:p>
        </w:tc>
      </w:tr>
      <w:tr>
        <w:trPr>
          <w:trHeight w:val="210"/>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intersegment revenues</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15,193</w:t>
            </w:r>
          </w:p>
        </w:tc>
      </w:tr>
      <w:tr>
        <w:trPr>
          <w:trHeight w:val="20"/>
        </w:trPr>
        <w:tc>
          <w:tcPr>
            <w:tcW w:w="4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M — STOCKHOLDERS’ EQUITY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11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Company’s common stock, $0.0001 par value, consists of 200,000,000 authorized shares, of which 53,210,842 and 52,954,430 shares were issued and outstanding as of September 30, 2024 and December 31, 2023,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2020 Equity Incentive Plan</w:t>
      </w:r>
    </w:p>
    <w:p>
      <w:pPr>
        <w:spacing w:after="0" w:line="11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maintains a 2020 Equity Incentive Plan (the “2020 Plan”) and has registered 6,200,000 shares of common stock issuable under the 2020 Plan. The 2020 Plan authorizes discretionary grants of incentive stock options to employees of the Company and its qualifying subsidiaries. The 2020 Plan also authorizes discretionary grants of non-qualified stock options, stock appreciation rights, restricted stock, restricted stock units, dividend equivalents or other equity or cash-based awards to employees and consultants of the Company and its subsidiaries and to members of the Board of Directors (the “Board”) of the Company. To the extent that an award under the 2020 Plan expires, is cancelled, forfeited, terminated, settled in cash or is otherwise settled without issuance of the full number of shares to which it relates, those shares will become or again be available for awards under the 2020 Plan. The 2020 Plan is administered by the Compensation Committee of the Board. The Compensation Committee has complete, full and final authority to: designate participants; determine the types of awards to be granted; determine the terms of awards; and interpret and administer the 2020 Plan and any agreements and awards thereunder.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Restricted stock unit activity under the 2020 Plan for the nine months ended September 30, 2024 and 2023 was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532,399</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1,148,201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(221,337)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September 30, 2024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1,391,376</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3"/>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3"/>
        </w:trPr>
        <w:tc>
          <w:tcPr>
            <w:tcW w:w="6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1,374,383</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359,036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(33,526)</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(121,737)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September 30, 2023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1,578,156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For the restricted stock unit awards granted under the 2020 Plan containing both service and performance conditions, the Company recognizes compensation expense when the awards are considered probable of vesting. Restricted stock units are considered granted, and the service inception date begins, when a mutual understanding of the key terms and conditions between the Company and the employee have been established. The fair value of restricted stock units is determined based on the closing price of the shares on the grant date.</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probability of vesting of restricted share awards granted with future performance conditions is evaluated at each reporting period and compensation expense is adjusted based on the probability assessment.</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Company’s restricted stock units included 726,109 performance-based awards that have vesting provisions subject to both time vesting and the achievement of certain performance milestones at 100% and 200% vesting targets.</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did not recognize share-based compensation expense for the performance-based awards given that the achievement of the performance milestones have been deemed not probable for accounting purposes.</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2023, the Company’s restricted stock units included 1,073,736 performance-based awards that had vesting provisions subject to both time vesting and the achievement of certain performance milestones at 100% and 200% vesting targets. Effective March 31, 2022, the performance-based awards granted in 2021 (the “2021 PSUs”) met the performance metric at the maximum level of 200% with one-third vested on December 22, 2022 and two-thirds vesting on December 22, 2023. For the three and nine months ended September 30, 2023, the Company recognized share-based compensation expense for the 2021 PSUs of $2.0 million and $6.0 million,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Stock options granted under the 2020 Plan have exercise terms of 10 years and vest in equal installments of one-third of the total number of options granted on each of the first three anniversaries from the grant date beginning one year after the date of grant, and are assigned an exercise price equal to the closing stock price on the day prior to the date of grant. Options are expensed on a straight-line basis over the grant vesting period, which is considered to be the requisite service period. In order for the options to vest, the employee must be in the continuous employment of the Company since the date of the grant. Except for qualifying retirement after the nine-month anniversary of the grant date, any portion of the grant that has not vested will be forfeited upon termination of employment.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Under the 2020 Plan, the fair value of each option grant is estimated on the date of grant using the Black-Scholes option-pricing model. When determining expected volatility, the Company considers the historical volatility of the Company’s stock price, or benchmark companies when the option exercise period exceeds period for which stock data is available for the Company. The risk-free interest rate is based on the U.S. Treasury yield curve in effect at the time of grant, based on the options’ expected term. The assumptions used in the Black-Scholes option-pricing model for options granted in 2024 are as follows: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17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23"/>
        </w:trPr>
        <w:tc>
          <w:tcPr>
            <w:tcW w:w="57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7, 2024</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July 1, 2024</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Risk-free interest rate</w:t>
            </w:r>
          </w:p>
        </w:tc>
        <w:tc>
          <w:tcPr>
            <w:tcW w:w="17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4.42%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volatility of common stock</w:t>
            </w:r>
          </w:p>
        </w:tc>
        <w:tc>
          <w:tcPr>
            <w:tcW w:w="1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50.04%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w:t>
            </w:r>
          </w:p>
        </w:tc>
      </w:tr>
      <w:tr>
        <w:trPr>
          <w:trHeight w:val="24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 yield</w:t>
            </w:r>
          </w:p>
        </w:tc>
        <w:tc>
          <w:tcPr>
            <w:tcW w:w="17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option term in years</w:t>
            </w:r>
          </w:p>
        </w:tc>
        <w:tc>
          <w:tcPr>
            <w:tcW w:w="1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Grant-date fair value (per share)</w:t>
            </w:r>
          </w:p>
        </w:tc>
        <w:tc>
          <w:tcPr>
            <w:tcW w:w="17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$ 3.73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 options activity under the 2020 Plan for the nine months ended September 30, 2024 was as follows: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96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646,301</w:t>
            </w:r>
          </w:p>
        </w:tc>
        <w:tc>
          <w:tcPr>
            <w:tcW w:w="42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7.02</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September 30, 2024</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646,301</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7.02</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Total shares valued at the market price of the underlying stock as of September 30, 2024 less the exercise price.</w:t>
      </w:r>
    </w:p>
    <w:p>
      <w:pPr>
        <w:spacing w:after="0" w:line="225"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the unrecognized compensation costs related to these awards was $1.9 million. The Company expects to recognize those costs over a weighted average period of 1.8 years. The total grant date fair value of stock options awarded during the nine months ended September 30, 2024 was $2.4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2020 Employee Stock Purchase Plan</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also maintains the AerSale Corporation 2020 Employee Stock Purchase Plan (the “ESPP”) and has registered 500,000 shares of common stock issuable under the ESPP. During the nine months ended September 30, 2024 and 2023, the Company issued 48,202 and 21,551 shares, respectively, pursuant to the ESPP.</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820" w:right="59" w:hanging="777"/>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our management believes is relevant to an assessment and understanding of our condensed consolidated results of operations and financial condition. You should read the following management’s discussion and analysis and the accompanying financial statements and related notes together with AerSale’s Annual Report on Form 10-K for the year ended December 31, 2023 (the “2023 Form 10-K”). This discussion contains forward-looking statements about AerSale’s business, operations and industry that involve risks and uncertainties, such as statements regarding AerSale’s plans, objectives, expectations and intentions. AerSale’s future results and financial condition may differ materially from those currently anticipated because of the factors described in the section titled “Risk Factors” in the 2023 Form 10-K.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operate as a platform for serving the commercial aviation aftermarket sector. Our top executives have on average over 30 years of experience in aircraft and engine (“Flight Equipment”) management, sales and maintenance services, and are supported by an experienced management team. We have established a global purpose built and fully integrated aviation company focused on providing products and services that maximize the value of Flight Equipment in the middle to end of its operating life cycle.</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a worldwide provider of aftermarket commercial aircraft, engines, and their parts to passenger and cargo airlines, leasing companies, original equipment manufacturers (“OEM”), government and defense contractors, and maintenance, repair and overhaul (“MRO”) service providers. We report our activities in two business segments: Asset Management Solutions, comprised of activities that extract value from strategic Flight Equipment acquisitions either as whole assets or by disassembling for used serviceable material (“USM”), and TechOps, comprised of MRO activities for aircraft and their components, and sales of internally developed engineered solutions and other serviceable products.</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Asset Management Solutions segment focuses on mid-life Flight Equipment. Asset Management Solutions’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 We accomplish this by utilizing deep market and technical knowledge related to the management of Flight Equipment sales, leasing and MRO services. To extract value from the remaining flight time on whole assets, we provide flexible short-term (generally less than five years) leasing solutions of Flight Equipment to passenger and cargo operators across the globe. Once the value from the Flight Equipment’s flight time has been extracted, Flight Equipment is considered to be at or near the end of its useful life and is analyzed for return maximization as either whole asset sales or disassembled for sale as USM parts. Revenue from this segment is segregated between Aircraft and Engine depending on the asset type that generated the revenue. Lease revenue and the related depreciation from aircraft and engines installed on those aircraft are recognized under the Aircraft category. Revenue from sales of whole aircraft and related cost of sales are allocated between the Aircraft and Engine categories based on the allocated cost basis of the asset sold.</w:t>
      </w:r>
    </w:p>
    <w:p>
      <w:pPr>
        <w:spacing w:after="0" w:line="19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TechOps segment provides internal and third-party aviation services, including internally developed engineered solutions, full heavy aircraft maintenance and modification, component MRO, as well as end-of-life disassembly services to all Flight Equipment. Our MRO business also engages in longer-term projects such as aircraft modifications, cargo and tanker conversions of aircraft, and aircraft storage. The TechOps segment also includes MRO services for landing gear, thrust reversers, hydraulic systems, and other aircraft components.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utilize these capabilities to support our customers’ Flight Equipment, as well as to maintain and improve our own Flight Equipment, which is subsequently sold or leased to our customers. These processes require a high degree of expertise on each individual aircraft or component that is being serviced. Our knowledge of these processes allows us to assist customers to comply with applicable regulatory and OEM requirements. A significant amount of skilled labor is required to support this process, which the Company has accumulated through its diversified offerings.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to our aircraft and USM parts offerings, we develop Engineered Solutions consisting of Supplemental Type Certificates (“STCs”) that can be installed on existing Flight Equipment to improve performance, comply with regulatory requirements, or improve safety. An example of these solutions is the AerSafe® product line, which we designed and for which we obtained Federal Aviation Administration (“FAA”) approval to sell as a solution for compliance with the FAA’s fuel tank flammability regulations. Another example of these solutions is our AerAware™ product, an industry-leading, next generation Enhanced Flight Vision System (“EFVS”) that has recently received approval by the FAA for the Boeing B737NG product line. These products are proprietary in nature and function as non-OEM solutions to regulatory requirements and other technical challenges, often at reduced delivery time and cost for operators. In order to develop these products, we engage in research and development activities that are expensed as incurred.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most recently adopted and to be adopted accounting pronouncements are described in Note B of our condensed consolidated financial statements included in this Quarterly Report, as well as in, Note B within our consolidated annual financial statements in Part II, Item 8 of the 2023 Form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2024 compared to the three months ended September 30, 2023</w:t>
      </w:r>
    </w:p>
    <w:p>
      <w:pPr>
        <w:spacing w:after="0" w:line="227"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Sales and gross profit for AerSale’s two business segments for the three months ended September 30, 2024 and 2023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Pr>
          <w:p>
            <w:pPr>
              <w:spacing w:after="0"/>
              <w:rPr>
                <w:sz w:val="15"/>
                <w:szCs w:val="15"/>
                <w:color w:val="auto"/>
              </w:rPr>
            </w:pPr>
          </w:p>
        </w:tc>
        <w:tc>
          <w:tcPr>
            <w:tcW w:w="26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52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20,888</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44,166</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65,054</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0"/>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23,154</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27,430</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82,684</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92,484</w:t>
            </w:r>
          </w:p>
        </w:tc>
        <w:tc>
          <w:tcPr>
            <w:tcW w:w="2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Pr>
          <w:p>
            <w:pPr>
              <w:spacing w:after="0"/>
              <w:rPr>
                <w:sz w:val="24"/>
                <w:szCs w:val="24"/>
                <w:color w:val="auto"/>
              </w:rPr>
            </w:pPr>
          </w:p>
        </w:tc>
        <w:tc>
          <w:tcPr>
            <w:tcW w:w="26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52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19,288</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18,537</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9"/>
        </w:trPr>
        <w:tc>
          <w:tcPr>
            <w:tcW w:w="43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23,675</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23,474</w:t>
            </w:r>
          </w:p>
        </w:tc>
        <w:tc>
          <w:tcPr>
            <w:tcW w:w="2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Total revenue for the three months ended September 30, 2024 decreased $9.8 million or 10.6% compared to the three months ended September 30, 2023, driven by an decrease of $14.6 million, or 22.5%, in revenues within Asset Management Solutions, offset by an increase of $4.8 million, or 17.6%, in revenues within TechOps.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 Management Solutions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Sales in the Asset Management Solutions segment decreased $14.6 million or 22.5%, to $50.4 million for the three months ended September 30, 2024, due to $11.9 million, or 57.2%, decrease in revenue from Aircraft and a $2.7 million, or 6.1%, decrease in revenue from Engines. The decrease in Aircraft revenue is a result of lower Flight Equipment sales in the amount of $12.7 million due to the timing and availability of assets, primarily attributable to decreased activity in the B757 product line, offset by higher USM sales. The decrease in Engines revenue is primarily attributable to lower activity across most product lines due to lower Flight Equipment sales in the amount of $9.5 million.</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Cost of sales in Asset Management Solutions decreased $15.4 million or 33.1%, to $31.1 million for the three months ended September 30, 2024, compared to the prior year period. The decrease in cost of sales was primarily driven by the sales decrease discussed above. Gross profit in the Asset Management Solutions segment increased $0.8 million to $19.3 million, or 4.1%, for the three months ended September 30, 2024, compared to the three months ended September 30, 2023. The gross profit increase is mainly attributable to higher margins on Flight Equipment sales for the three months ended September 30, 2024.</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Engines gross profit margin was 39.3% for the three months ended September 30, 2024, an increase from 26.9% for the three months ended September 30, 2023, which was primarily the result of higher margins on Flight Equipment sales and leasing revenues. Aircraft gross profit margins increased to 33.7% for the three months ended September 30, 2024, from 31.9% for the three months ended September 30, 2023 due to higher margin contribution from USM sales.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TechOps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revenue from TechOps increased by $4.8 million or 17.6%, to $32.3 million for the three months ended September 30, 2024, compared to the prior year period. The increase was driven by higher contributions by component and landing gear repair activities.</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Cost of sales in TechOps increased $5.4 million or 24.0%, to $27.9 million for the three months ended September 30, 2024 compared to the prior year period. This was driven by higher revenue discussed above. Gross profit in TechOps decreased $0.5 million, or 11.1% for the three months ended September 30, 2024 compared to the three months ended September 30, 2023, driven by lower gross profit of $0.7 million on MRO services. Gross profit margin decreased to 13.6% for the three months ended September 30, 2024 compared to 18.0% for the prior year period, and was largely attributable to lower margin on MRO services of 11.3% for the three months ended September 30, 2024 compared to 16.8% for the prior year period, driven by lower margin generated on our heavy and component MROs.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$3.7 million, or 14.7% to $21.7 million for the three months ended September 30, 2024, compared to the prior year period. The decrease was primarily related to lower repair and maintenance and lower payroll related costs.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account for our private warrants as a liability at their fair value, with changes in fair value recognized in our results from operations for the period. The fair value of our private warrants is determined using a Black Scholes option pricing model. For the three months ended September 30, 2024, we recorded a $0.2 million change in fair value of warrant liability income, compared to a $0.1 million loss in the prior year period.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Interest expense, net was $1.8 million for the three months ended September 30, 2024, compared to $0.3 million interest expense, net for the three months ended September 30, 2023. The increase in interest expense is primarily driven by higher borrowings under our debt facilities during the current year period to support feedstock acquisitions.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effective tax rate for the three months ended September 30, 2024, was 13.0% compared to 93.0% for the three months ended September 30, 2023. The difference between the effective tax rate and the statutory tax rate of 21% for the three months ended September 30, 2024, is primarily due to the impact of state income taxes and stock-based compensation. The difference between the effective tax rate and the statutory tax rate of 21% for the three months ended September 30, 2023 is primarily due to the impact of state income taxes and non-deductible executive compensation, offset by the foreign derived intangible income deduction and R&amp;D credits.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compared to the nine months ended September 30, 2023</w:t>
      </w:r>
    </w:p>
    <w:p>
      <w:pPr>
        <w:spacing w:after="0" w:line="227"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Sales and gross profit for AerSale’s two business segments for the nine months ended September 30, 2024 and 2023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5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3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34,388</w:t>
            </w:r>
          </w:p>
        </w:tc>
        <w:tc>
          <w:tcPr>
            <w:tcW w:w="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57,836</w:t>
            </w: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117,087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151,475</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150,555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83,430</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78,725</w:t>
            </w: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Whole Asset Sale</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98,850</w:t>
            </w:r>
          </w:p>
        </w:tc>
        <w:tc>
          <w:tcPr>
            <w:tcW w:w="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89,526</w:t>
            </w: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250,325</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240,081</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Borders>
              <w:bottom w:val="single" w:sz="8" w:color="auto"/>
            </w:tcBorders>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5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3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5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w:t>
            </w: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57,301</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47,951</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MRO</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17,078</w:t>
            </w: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Whole Asset Sale</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74,191</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Total revenue for the nine months ended September 30, 2024 increased $10.2 million or 4.3% compared to the nine months ended September 30, 2023, driven by an increase of $0.9 million, or 0.6%, in revenues within Asset Management Solutions and an increase of $9.3 million, or 10.4%, in revenues within TechOps.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 Management Solutions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Sales in the Asset Management Solutions segment increased $0.9 million or 0.6%, to $151.5 million for the nine months ended September 30, 2024, due to a $24.4 million, or 26.3%, increase in revenue from Engines; offset by a $23.4 million, or 40.5%, decrease in revenue from Aircraft. The increase in Engines revenue is primarily attributable to increased activity in the CFM56 product line as a result of higher Flight Equipment sales in the amount of $10.5 million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and higher USM sales. The decrease in Aircraft revenue is primarily attributable to decreased activity in the B757 product line due to lower Flight Equipment sales in the amount of $21.1 million due to softer demand in the freighter market, and lower leasing revenue of $1.9 million, partially offset by higher USM sales activity.</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Cost of sales in Asset Management Solutions decreased $8.4 million, or 8.2%, to $94.2 million for the nine months ended September 30, 2024, compared to the prior year period. The decrease in cost of sales was primarily driven by lower costs on Flight Equipment sales. Gross profit in the Asset Management Solutions segment increased $9.3 million to $57.3 million, or 19.5%, for the nine months ended September 30, 2024, compared to the nine months ended September 30, 2023. The gross profit increase is mainly attributable to the higher margin generated on Flight Equipment sales for the nine months ended September 30, 2024, as noted above.</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Aircraft gross profit margin increased to 32.8% for the nine months ended September 30, 2024, from 29.2% for the nine months ended September 30, 2023, due to higher margins on Flight Equipment sales. Engine gross profit margin was 39.3% for the nine months ended September 30, 2024, an increase from 33.5% for the nine months ended September 30, 2023, which was primarily due to changes in the USM product mix, along with higher margins on Flight Equipment sales.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TechOps</w:t>
      </w:r>
    </w:p>
    <w:p>
      <w:pPr>
        <w:spacing w:after="0" w:line="22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Our revenue from TechOps increased by $9.3 million, or 10.4%, to $98.9 million for the nine months ended September 30, 2024, compared to the prior year period. The increase was primarily driven by higher MRO product sales.</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Cost of sales in TechOps increased $12.5 million, or 18.0%, to $82.0 million for the nine months ended September 30, 2024, compared to the prior year period, driven by the higher revenues discussed above. Gross profit in TechOps decreased $3.2 million, or 15.8% for the nine months ended September 30, 2024, compared to the nine months ended September 30, 2023, driven by lower profit generated on MRO services. Gross profit margin decreased to 17.1% for the nine months ended September 30, 2024 compared to 22.4% for the nine months ended September 30, 2023, and was largely attributable to lower margins on MRO services of 15.1% for the nine months ended September 30, 2024, compared to 21.7% during the nine months ended September 30, 2023.</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$8.3 million, or 10.7% to $69.4 million for the nine months ended September 30, 2024, compared to the prior year period. The decrease was primarily related to lower share-based compensation and lower payroll related costs.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account for our private warrants as a liability at their fair value, with changes in fair value recognized in our results from operations for the period. The fair value of our private warrants is determined using a Black Scholes option pricing model. For the nine months ended September 30, 2024, we recorded a change in fair value of the warrant liability income of $2.3 million, compared to a $1.0 million income in the prior year period.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Income, Net</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Interest expense, net, was $4.2 million for the nine months ended September 30, 2024, compared to $1.2 million interest income, net, for the nine months ended September 30, 2023. This was primarily related to interest expense incurred on higher borrowings under our debt facilities during the current year period compared to the prior period related to feedstock and MRO expansion investments to grow our business.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effective tax rate for the nine months ended September 30, 2024, was 5.2% compared to 59.8% for the nine months ended September 30, 2023. The difference between the effective tax rate and the statutory tax rate of 21% for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nine months ended September 30, 2024, is primarily due to the impact of state income taxes and stock-based compensation. The difference between the effective tax rate and the statutory tax rate of 21% for the nine months ended September 30, 2023 is primarily due to the impact of state income taxes and non-deductible executive compensation, offset by the foreign derived intangible income deduction and R&amp;D credits.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2024, we had $9.8 million of cash and cash equivalents. We finance our growth through cash flows generated from operations and borrowings secured by our assets. We had $78.5 million outstanding under the Revolving Credit Agreement (as defined below) as of September 30, 2024, and we had $93.7 million of availability thereunder. We used cash in operations of $26.4 million for the nine months ended September 30, 2024, primarily for feedstock acquisitions, and used cash in investing activities of $11.5 million for the nine months ended September 30, 2024.</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we entered into a revolving term loan collateralized by our property and equipment (the “Equipment Loan”), and borrowed $8.6 million, which was paid off during the nine months ended September 30, 2024. During the nine months ended September 30, 2024, the Company financed additional equipment purchases of $0.6 million, of which $0.6 million remain outstanding as of September 30, 2024.</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believe our equity base, internally generated funds, and existing availability under our debt facilities are sufficient to maintain our level of operations through the next 12 months. Any projections of future cash needs and cash flows beyond the next twelve months are subject to substantial uncertainty, but we believe our sources of liquidity, as discussed above, will be sufficient to meet our long-term cash requirements. If an event occurs that would affect our ability to meet our capital requirements, our ability to continue to grow our asset base consistent with historical trends could be impaired and our future growth limited to that which can be funded from internally generated capital.</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may, from time to time, purchase our outstanding shares of common stock through cash purchases and/or exchanges for equity or debt, open-market purchases, privately negotiated transactions or otherwise. Such purchases or exchanges, if any, will be upon such terms and at such prices as we may determine, and will depend on prevailing market conditions, our liquidity requirements, legal and regulatory considerations, contractual restrictions and other factors. Purchases, if any, will be funded through our available cash from operations. The amounts involved may be material.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 Nine months ended September 30, 2024 compared to nine months ended September 30, 2023</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$26.4 million for the nine months ended September 30, 2024, compared to cash used of $168.1 million for the same period in 2023. The decrease in cash deployed of $141.7 million was primarily due to lower feedstock acquisitions and the timing of advances to vendors during the nine months ended September 30, 2024 compared to the prior year period.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$11.5 million for the nine months ended September 30, 2024, compared to cash provided of $6.7 million in the same period for 2023. Cash used in investing activities during the nine months ended September 30, 2024 was driven by purchases of property and equipment in support of TechOps expansion. Cash generated by investing activities during the nine months ended September 30, 2023 was driven by Flight Equipment sales.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$41.7 million for the nine months ended September 30, 2024, compared to cash provided of $17.3 million in the same period for 2023. Cash provided by financing activities during the nine months ended September 30, 2024 was primarily related to the proceeds from net borrowings under our Revolving Credit Agreement (as defined below). Cash provided by financing activities during the nine months ended September 30,</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2023 is the result of proceeds from net borrowings under the Equipment Loan, as well as net borrowings under the Revolving Credit Agreement (as defined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 and Covenant Compliance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Wells Fargo Senior Secured Revolving Credit Facility</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Effective July 25, 2023, we amended our revolving credit agreement (as amended, the “Revolving Credit Agreement”) to increase our maximum commitments under the Revolving Credit Agreement to $180.0 million aggregate amount, expandable to $200.0 million, subject to conditions and the availability of lender commitments and borrowing base limitations, and to extend the maturity date to July 24, 2028, subject to certain conditions.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Extensions of credit under the Revolving Credit Agreement are available for working capital and general corporate purposes.</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there was $78.5 million outstanding under the Revolving Credit Agreement and we had $93.7 million of availability thereunder. We were in compliance with our debt covenants for the Revolving Credit Agreement as of September 30, 2024.</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Equipment Loan</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June 30, 2023, the Company entered into the Equipment Loan with a total advance commitment of $10.0 million for the purpose of financing capital expenditures on property and equipment. This facility became a term loan during quarter ended June 30, 2024, with a maturity date of June 26, 2027. The Equipment Loan is collateralized by the property and equipment it finances and requires interest only payment until converted to a term loan, at which point, principal and interest payments will be required.</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repaid $8.6 million outstanding under this facility as of December 31, 2023, and borrowed $0.6 million, of which $0.6 million remained outstanding as of September 30, 2024.</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were in compliance with our debt covenants for the Equipment Loan as of September 30, 2024.</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 and Contractual Obligations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did not have any off-balance sheet arrangements as of September 30, 2024. Refer to Note Q – Leases, within our consolidated financial statements in our 2023 Form 10-K for a listing of our non-cancelable contractual obligations under operating leases.</w:t>
      </w:r>
    </w:p>
    <w:p>
      <w:pPr>
        <w:spacing w:after="0" w:line="1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Company has entered into a purchase commitment with Universal Avionics valued at $24.5 million for the acquisition of technical equipment for manufacturing our AerAware</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8"/>
          <w:szCs w:val="18"/>
          <w:color w:val="auto"/>
        </w:rPr>
        <w:t xml:space="preserve"> product. The commitment is expected to be satisfied by the second quarter of 2025.</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accounting principles generally accepted in the United States (“U.S. GAAP”) requires our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Actual results could differ from those estimates. A summary of our critical accounting policies and estimates is included in Management’s Discussion and Analysis of Financial Condition and Results of Operations contained in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2023 Form 10-K. We continually review these policies and estimates and their underlying assumptions to ensure they are appropriate for the circumstances. Changes in the estimates and assumptions we use could have a material impact on our financial results.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first quarter of 2024, the Company identified a triggering event indicating the fair value of one or more of the Company’s reporting units more likely than not did not exceed their carrying values. The triggering event was due to the significant decline in the market price of the Company’s common stock during the quarter. As a result, the Company performed an interim quantitative goodwill impairment test for the Asset Management Solutions and ACT reporting units as of March 31, 2024, and determined that the fair values exceeded the carrying values for each reporting unit. Due to the lack of recovery in the stock price during the second and third quarters of 2024, the Company performed an interim quantitative goodwill impairment test for the Asset Management Solutions and ACT reporting units again as of June 30, 2024 and September 30, 2024, and determined that the fair values exceeded the carrying values for each reporting unit. As such, the interim quantitative tests did not result in a goodwill impairment for the Company’s reporting units.</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part of our quantitative assessment as of September 30, 2024, we noted that our fair value estimates of the Asset Management Solutions and ACT reporting units exceeded their carrying value by a small margin, which indicates a higher potential risk of goodwill impairment in the future; especially if these reporting units are unable to achieve projected performance metrics. As of September 30, 2024, the amount of goodwill in the Asset Management Solutions and ACT reporting units amounted to $13.4 million and $6.0 million, respectively.</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fair value determination of the Company’s reporting units and goodwill is judgmental in nature and requires the use of estimates and assumptions that are sensitive to changes. Such estimates include revenue growth rates, profit margins, and discount rates which consider the risk-free rate as well as company and market specific risk premiums. Revenue estimates for the Asset Management Solutions reporting unit are dependent on our ability to monetize existing Flight Equipment and meet our feedstock acquisition targets. Revenue estimates for the ACT reporting unit consider benefits derived from our facility expansion and certain synergies within the organization. While the Company believes it has made reasonable estimates and assumptions to calculate the fair values of the reporting units, it is possible a material change could occur. As a result, there can be no assurance that the estimates and assumptions made for purposes of the quantitative goodwill and indefinite-lived intangible impairment tests will prove to be an accurate prediction of future results.</w:t>
      </w:r>
    </w:p>
    <w:p>
      <w:pPr>
        <w:spacing w:after="0" w:line="190"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subject to market risks. Market risk represents the risk of loss that may impact our financial position due to adverse changes in financial market prices and sales. Our exposure to market risk includes fluctuating interest rates and changes in foreign exchange rates.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exposed to the risk that our earnings and cash flows could be adversely impacted by fluctuations in interest rates associated with borrowings under our Revolving Credit Agreement and the Equipment Loan, which have variable interest rates tied to the Secured Overnight Financing Rate. As of September 30, 2024, we had $78.5 million outstanding variable rate borrowings under the Revolving Credit Agreement. A ten percent increase in the average interest rate affecting our variable rate debt outstanding as of September 30, 2024 would increase our annual interest expense by $0.6 million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primarily use the U.S. dollar as our functional currency in all markets in which we operate in order to reduce our foreign currency market risk. Only general office expense and payroll transactions for our international locations are denominated in local currency. A hypothetical ten percent devaluation of the U.S. dollar against foreign currencies would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not have had a material impact on our financial position or continuing operations as of and for the three and nine months ended September 30, 2024.</w:t>
      </w:r>
    </w:p>
    <w:p>
      <w:pPr>
        <w:spacing w:after="0" w:line="158"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of our disclosure controls and procedures (as defined in Rules 13a-15(e) and 15d-15(e) under the Securities Exchange Act of 1934, as amended (the “Exchange Act”)), as of September 30, 2024.</w:t>
      </w:r>
    </w:p>
    <w:p>
      <w:pPr>
        <w:spacing w:after="0" w:line="13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Chief Financial Officer concluded that our disclosure controls and procedures were effective at the reasonable assurance level as of September 30, 2024.</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could be involved in litigation incidental to the operation of the business. The Company intends to vigorously defend all matters in which the Company is named defendants, and, for insurable losses, maintain adequate levels of insurance to protect against adverse judgments, claims or assessments that may affect the Company. Although the adequacy of exiting insurance coverage and the outcome of any legal proceedings cannot be predicted with certainty, based on the current information available, the Company does not believe the ultimate liability associated with known claims or litigations, if any, in which the Company is involved will materially affect the Company’s consolidated financial condition or results of operations.</w:t>
      </w:r>
    </w:p>
    <w:p>
      <w:pPr>
        <w:spacing w:after="0" w:line="185"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There are no material changes in the information reported under Part I – Item 1A “Risk Factors” contained in the 2023 Form 10-K.</w:t>
      </w:r>
    </w:p>
    <w:p>
      <w:pPr>
        <w:spacing w:after="0" w:line="158"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Rule 10b5-1 Plan Adoptions and Terminations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30, 2024, no director or officer adopted or terminated any “Rule 10b5-1 trading arrangement” or “non-Rule 10b5-1 trading arrangement” (as such terms are defined under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ITEM 6</w:t>
            </w:r>
          </w:p>
        </w:tc>
        <w:tc>
          <w:tcPr>
            <w:tcW w:w="60" w:type="dxa"/>
            <w:vAlign w:val="bottom"/>
          </w:tcPr>
          <w:p>
            <w:pPr>
              <w:spacing w:after="0"/>
              <w:rPr>
                <w:sz w:val="20"/>
                <w:szCs w:val="20"/>
                <w:color w:val="auto"/>
              </w:rPr>
            </w:pPr>
          </w:p>
        </w:tc>
        <w:tc>
          <w:tcPr>
            <w:tcW w:w="3720" w:type="dxa"/>
            <w:vAlign w:val="bottom"/>
            <w:gridSpan w:val="27"/>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6540" w:type="dxa"/>
            <w:vAlign w:val="bottom"/>
            <w:gridSpan w:val="34"/>
          </w:tcPr>
          <w:p>
            <w:pPr>
              <w:ind w:left="2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 on Form 10-Q.</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6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20" w:type="dxa"/>
            <w:vAlign w:val="bottom"/>
            <w:gridSpan w:val="23"/>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vMerge w:val="restart"/>
          </w:tcPr>
          <w:p>
            <w:pPr>
              <w:spacing w:after="0"/>
              <w:rPr>
                <w:sz w:val="10"/>
                <w:szCs w:val="10"/>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10"/>
                <w:szCs w:val="10"/>
                <w:color w:val="auto"/>
              </w:rPr>
            </w:pPr>
          </w:p>
        </w:tc>
        <w:tc>
          <w:tcPr>
            <w:tcW w:w="11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vMerge w:val="restart"/>
          </w:tcPr>
          <w:p>
            <w:pPr>
              <w:spacing w:after="0"/>
              <w:rPr>
                <w:sz w:val="10"/>
                <w:szCs w:val="10"/>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vMerge w:val="restart"/>
          </w:tcPr>
          <w:p>
            <w:pPr>
              <w:spacing w:after="0"/>
              <w:rPr>
                <w:sz w:val="10"/>
                <w:szCs w:val="10"/>
                <w:color w:val="auto"/>
              </w:rPr>
            </w:pP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16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Furnished</w:t>
            </w:r>
          </w:p>
        </w:tc>
        <w:tc>
          <w:tcPr>
            <w:tcW w:w="0" w:type="dxa"/>
            <w:vAlign w:val="bottom"/>
          </w:tcPr>
          <w:p>
            <w:pPr>
              <w:spacing w:after="0"/>
              <w:rPr>
                <w:sz w:val="1"/>
                <w:szCs w:val="1"/>
                <w:color w:val="auto"/>
              </w:rPr>
            </w:pPr>
          </w:p>
        </w:tc>
      </w:tr>
      <w:tr>
        <w:trPr>
          <w:trHeight w:val="173"/>
        </w:trPr>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23"/>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91"/>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gridSpan w:val="25"/>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Amendment No. 5 to the Amended and</w:t>
              </w:r>
            </w:hyperlink>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10/25/2024</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42">
              <w:r>
                <w:rPr>
                  <w:rFonts w:ascii="Times New Roman" w:cs="Times New Roman" w:eastAsia="Times New Roman" w:hAnsi="Times New Roman"/>
                  <w:sz w:val="18"/>
                  <w:szCs w:val="18"/>
                  <w:color w:val="0000EE"/>
                  <w:w w:val="98"/>
                </w:rPr>
                <w:t>Restated Credit Agreement, dated as of</w:t>
              </w:r>
            </w:hyperlink>
          </w:p>
        </w:tc>
        <w:tc>
          <w:tcPr>
            <w:tcW w:w="740" w:type="dxa"/>
            <w:vAlign w:val="bottom"/>
            <w:gridSpan w:val="15"/>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r:id="rId42">
              <w:r>
                <w:rPr>
                  <w:rFonts w:ascii="Times New Roman" w:cs="Times New Roman" w:eastAsia="Times New Roman" w:hAnsi="Times New Roman"/>
                  <w:sz w:val="18"/>
                  <w:szCs w:val="18"/>
                  <w:color w:val="0000EE"/>
                  <w:w w:val="98"/>
                </w:rPr>
                <w:t>October 24, 2024, by and among the Company,</w:t>
              </w:r>
            </w:hyperlink>
          </w:p>
        </w:tc>
        <w:tc>
          <w:tcPr>
            <w:tcW w:w="1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42">
              <w:r>
                <w:rPr>
                  <w:rFonts w:ascii="Times New Roman" w:cs="Times New Roman" w:eastAsia="Times New Roman" w:hAnsi="Times New Roman"/>
                  <w:sz w:val="18"/>
                  <w:szCs w:val="18"/>
                  <w:color w:val="0000EE"/>
                  <w:w w:val="98"/>
                </w:rPr>
                <w:t>the lenders, and Synovus Bank, as</w:t>
              </w:r>
            </w:hyperlink>
          </w:p>
        </w:tc>
        <w:tc>
          <w:tcPr>
            <w:tcW w:w="1100" w:type="dxa"/>
            <w:vAlign w:val="bottom"/>
            <w:gridSpan w:val="18"/>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5"/>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documentation agent, and Wells Fargo Bank,</w:t>
              </w:r>
            </w:hyperlink>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National Administration, as administrative</w:t>
              </w:r>
            </w:hyperlink>
          </w:p>
        </w:tc>
        <w:tc>
          <w:tcPr>
            <w:tcW w:w="160" w:type="dxa"/>
            <w:vAlign w:val="bottom"/>
            <w:tcBorders>
              <w:top w:val="single" w:sz="8" w:color="0000EE"/>
            </w:tcBorders>
            <w:gridSpan w:val="5"/>
          </w:tcPr>
          <w:p>
            <w:pPr>
              <w:spacing w:after="0"/>
              <w:rPr>
                <w:sz w:val="17"/>
                <w:szCs w:val="17"/>
                <w:color w:val="auto"/>
              </w:rPr>
            </w:pPr>
          </w:p>
        </w:tc>
        <w:tc>
          <w:tcPr>
            <w:tcW w:w="34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42">
              <w:r>
                <w:rPr>
                  <w:rFonts w:ascii="Times New Roman" w:cs="Times New Roman" w:eastAsia="Times New Roman" w:hAnsi="Times New Roman"/>
                  <w:sz w:val="18"/>
                  <w:szCs w:val="18"/>
                  <w:color w:val="0000EE"/>
                  <w:w w:val="98"/>
                </w:rPr>
                <w:t>agent and collateral agent.</w:t>
              </w:r>
            </w:hyperlink>
          </w:p>
        </w:tc>
        <w:tc>
          <w:tcPr>
            <w:tcW w:w="1680" w:type="dxa"/>
            <w:vAlign w:val="bottom"/>
            <w:gridSpan w:val="20"/>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43">
              <w:r>
                <w:rPr>
                  <w:rFonts w:ascii="Times New Roman" w:cs="Times New Roman" w:eastAsia="Times New Roman" w:hAnsi="Times New Roman"/>
                  <w:sz w:val="18"/>
                  <w:szCs w:val="18"/>
                  <w:color w:val="0000EE"/>
                  <w:w w:val="98"/>
                </w:rPr>
                <w:t>Agreement and Plan of Merger, dated</w:t>
              </w:r>
            </w:hyperlink>
          </w:p>
        </w:tc>
        <w:tc>
          <w:tcPr>
            <w:tcW w:w="860" w:type="dxa"/>
            <w:vAlign w:val="bottom"/>
            <w:gridSpan w:val="16"/>
          </w:tcPr>
          <w:p>
            <w:pPr>
              <w:spacing w:after="0"/>
              <w:rPr>
                <w:sz w:val="17"/>
                <w:szCs w:val="17"/>
                <w:color w:val="auto"/>
              </w:rPr>
            </w:pPr>
          </w:p>
        </w:tc>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16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12/9/2019</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5"/>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December 8, 2019, by and among Monocle</w:t>
              </w:r>
            </w:hyperlink>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43">
              <w:r>
                <w:rPr>
                  <w:rFonts w:ascii="Times New Roman" w:cs="Times New Roman" w:eastAsia="Times New Roman" w:hAnsi="Times New Roman"/>
                  <w:sz w:val="18"/>
                  <w:szCs w:val="18"/>
                  <w:color w:val="0000EE"/>
                  <w:w w:val="98"/>
                </w:rPr>
                <w:t>Acquisition Corporation, Monocle Holdings</w:t>
              </w:r>
            </w:hyperlink>
          </w:p>
        </w:tc>
        <w:tc>
          <w:tcPr>
            <w:tcW w:w="38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Inc., AerSale Corp., Monocle Merger Sub 1</w:t>
              </w:r>
            </w:hyperlink>
          </w:p>
        </w:tc>
        <w:tc>
          <w:tcPr>
            <w:tcW w:w="38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5"/>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Inc., Monocle Merger Sub 2 LLC, and Leonard</w:t>
              </w:r>
            </w:hyperlink>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43">
              <w:r>
                <w:rPr>
                  <w:rFonts w:ascii="Times New Roman" w:cs="Times New Roman" w:eastAsia="Times New Roman" w:hAnsi="Times New Roman"/>
                  <w:sz w:val="18"/>
                  <w:szCs w:val="18"/>
                  <w:color w:val="0000EE"/>
                  <w:w w:val="98"/>
                </w:rPr>
                <w:t>Green &amp; Partners, L.P., in its capacity as the</w:t>
              </w:r>
            </w:hyperlink>
          </w:p>
        </w:tc>
        <w:tc>
          <w:tcPr>
            <w:tcW w:w="220" w:type="dxa"/>
            <w:vAlign w:val="bottom"/>
            <w:tcBorders>
              <w:top w:val="single" w:sz="8" w:color="0000EE"/>
            </w:tcBorders>
            <w:gridSpan w:val="7"/>
          </w:tcPr>
          <w:p>
            <w:pPr>
              <w:spacing w:after="0"/>
              <w:rPr>
                <w:sz w:val="17"/>
                <w:szCs w:val="17"/>
                <w:color w:val="auto"/>
              </w:rPr>
            </w:pPr>
          </w:p>
        </w:tc>
        <w:tc>
          <w:tcPr>
            <w:tcW w:w="1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5"/>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Holder Representative.</w:t>
              </w:r>
            </w:hyperlink>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Amendment No. 1 to the Agreement and Plan</w:t>
              </w:r>
            </w:hyperlink>
          </w:p>
        </w:tc>
        <w:tc>
          <w:tcPr>
            <w:tcW w:w="260" w:type="dxa"/>
            <w:vAlign w:val="bottom"/>
            <w:gridSpan w:val="5"/>
          </w:tcPr>
          <w:p>
            <w:pPr>
              <w:spacing w:after="0"/>
              <w:rPr>
                <w:sz w:val="17"/>
                <w:szCs w:val="17"/>
                <w:color w:val="auto"/>
              </w:rPr>
            </w:pPr>
          </w:p>
        </w:tc>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16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8/14/2020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of Merger, dated August 13, 2020, by and</w:t>
              </w:r>
            </w:hyperlink>
          </w:p>
        </w:tc>
        <w:tc>
          <w:tcPr>
            <w:tcW w:w="560" w:type="dxa"/>
            <w:vAlign w:val="bottom"/>
            <w:gridSpan w:val="13"/>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5"/>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among Monocle Acquisition Corporation,</w:t>
              </w:r>
            </w:hyperlink>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Monocle Holdings Inc., AerSale Corp.,</w:t>
              </w:r>
            </w:hyperlink>
          </w:p>
        </w:tc>
        <w:tc>
          <w:tcPr>
            <w:tcW w:w="180" w:type="dxa"/>
            <w:vAlign w:val="bottom"/>
            <w:tcBorders>
              <w:top w:val="single" w:sz="8" w:color="0000EE"/>
            </w:tcBorders>
            <w:gridSpan w:val="2"/>
          </w:tcPr>
          <w:p>
            <w:pPr>
              <w:spacing w:after="0"/>
              <w:rPr>
                <w:sz w:val="17"/>
                <w:szCs w:val="17"/>
                <w:color w:val="auto"/>
              </w:rPr>
            </w:pPr>
          </w:p>
        </w:tc>
        <w:tc>
          <w:tcPr>
            <w:tcW w:w="560" w:type="dxa"/>
            <w:vAlign w:val="bottom"/>
            <w:gridSpan w:val="13"/>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Monocle Merger Sub 1 Inc., Monocle Merger</w:t>
              </w:r>
            </w:hyperlink>
          </w:p>
        </w:tc>
        <w:tc>
          <w:tcPr>
            <w:tcW w:w="28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Sub 2 LLC, and Leonard Green &amp; Partners,</w:t>
              </w:r>
            </w:hyperlink>
          </w:p>
        </w:tc>
        <w:tc>
          <w:tcPr>
            <w:tcW w:w="42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5"/>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L.P., in its capacity as the Holder</w:t>
              </w:r>
            </w:hyperlink>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Representative.</w:t>
              </w:r>
            </w:hyperlink>
          </w:p>
        </w:tc>
        <w:tc>
          <w:tcPr>
            <w:tcW w:w="1200" w:type="dxa"/>
            <w:vAlign w:val="bottom"/>
            <w:gridSpan w:val="19"/>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Amended and Restated Agreement and Plan of</w:t>
              </w:r>
            </w:hyperlink>
          </w:p>
        </w:tc>
        <w:tc>
          <w:tcPr>
            <w:tcW w:w="180" w:type="dxa"/>
            <w:vAlign w:val="bottom"/>
            <w:gridSpan w:val="3"/>
          </w:tcPr>
          <w:p>
            <w:pPr>
              <w:spacing w:after="0"/>
              <w:rPr>
                <w:sz w:val="17"/>
                <w:szCs w:val="17"/>
                <w:color w:val="auto"/>
              </w:rPr>
            </w:pPr>
          </w:p>
        </w:tc>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16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09/08/2020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45">
              <w:r>
                <w:rPr>
                  <w:rFonts w:ascii="Times New Roman" w:cs="Times New Roman" w:eastAsia="Times New Roman" w:hAnsi="Times New Roman"/>
                  <w:sz w:val="18"/>
                  <w:szCs w:val="18"/>
                  <w:color w:val="0000EE"/>
                  <w:w w:val="98"/>
                </w:rPr>
                <w:t>Merger, dated September 8, 2020, by and</w:t>
              </w:r>
            </w:hyperlink>
          </w:p>
        </w:tc>
        <w:tc>
          <w:tcPr>
            <w:tcW w:w="600" w:type="dxa"/>
            <w:vAlign w:val="bottom"/>
            <w:gridSpan w:val="14"/>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5"/>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among Monocle Acquisition Corporation,</w:t>
              </w:r>
            </w:hyperlink>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45">
              <w:r>
                <w:rPr>
                  <w:rFonts w:ascii="Times New Roman" w:cs="Times New Roman" w:eastAsia="Times New Roman" w:hAnsi="Times New Roman"/>
                  <w:sz w:val="18"/>
                  <w:szCs w:val="18"/>
                  <w:color w:val="0000EE"/>
                  <w:w w:val="98"/>
                </w:rPr>
                <w:t>Monocle Holdings Inc., AerSale Corp.,</w:t>
              </w:r>
            </w:hyperlink>
          </w:p>
        </w:tc>
        <w:tc>
          <w:tcPr>
            <w:tcW w:w="180" w:type="dxa"/>
            <w:vAlign w:val="bottom"/>
            <w:tcBorders>
              <w:top w:val="single" w:sz="8" w:color="0000EE"/>
            </w:tcBorders>
            <w:gridSpan w:val="2"/>
          </w:tcPr>
          <w:p>
            <w:pPr>
              <w:spacing w:after="0"/>
              <w:rPr>
                <w:sz w:val="17"/>
                <w:szCs w:val="17"/>
                <w:color w:val="auto"/>
              </w:rPr>
            </w:pPr>
          </w:p>
        </w:tc>
        <w:tc>
          <w:tcPr>
            <w:tcW w:w="560" w:type="dxa"/>
            <w:vAlign w:val="bottom"/>
            <w:gridSpan w:val="13"/>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45">
              <w:r>
                <w:rPr>
                  <w:rFonts w:ascii="Times New Roman" w:cs="Times New Roman" w:eastAsia="Times New Roman" w:hAnsi="Times New Roman"/>
                  <w:sz w:val="18"/>
                  <w:szCs w:val="18"/>
                  <w:color w:val="0000EE"/>
                  <w:w w:val="98"/>
                </w:rPr>
                <w:t>Monocle Merger Sub 1 Inc., Monocle Merger</w:t>
              </w:r>
            </w:hyperlink>
          </w:p>
        </w:tc>
        <w:tc>
          <w:tcPr>
            <w:tcW w:w="28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Sub 2 LLC, and Leonard Green &amp; Partners,</w:t>
              </w:r>
            </w:hyperlink>
          </w:p>
        </w:tc>
        <w:tc>
          <w:tcPr>
            <w:tcW w:w="42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5"/>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L.P., in its capacity as the Holder</w:t>
              </w:r>
            </w:hyperlink>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Representative.</w:t>
              </w:r>
            </w:hyperlink>
          </w:p>
        </w:tc>
        <w:tc>
          <w:tcPr>
            <w:tcW w:w="1200" w:type="dxa"/>
            <w:vAlign w:val="bottom"/>
            <w:gridSpan w:val="19"/>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5"/>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Amendment No. 1 to the Amended and</w:t>
              </w:r>
            </w:hyperlink>
          </w:p>
        </w:tc>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12/17/2020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Restated Agreement and Plan of Merger, dated</w:t>
              </w:r>
            </w:hyperlink>
          </w:p>
        </w:tc>
        <w:tc>
          <w:tcPr>
            <w:tcW w:w="18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December 16, 2020, by and among Monocle</w:t>
              </w:r>
            </w:hyperlink>
          </w:p>
        </w:tc>
        <w:tc>
          <w:tcPr>
            <w:tcW w:w="36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Acquisition Corporation, Monocle Holdings</w:t>
              </w:r>
            </w:hyperlink>
          </w:p>
        </w:tc>
        <w:tc>
          <w:tcPr>
            <w:tcW w:w="38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Inc., AerSale Corp., Monocle Merger Sub 1</w:t>
              </w:r>
            </w:hyperlink>
          </w:p>
        </w:tc>
        <w:tc>
          <w:tcPr>
            <w:tcW w:w="38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5"/>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Inc., Monocle Merger Sub 2 LLC, and Leonard</w:t>
              </w:r>
            </w:hyperlink>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Green &amp; Partners, L.P., in its capacity as the</w:t>
              </w:r>
            </w:hyperlink>
          </w:p>
        </w:tc>
        <w:tc>
          <w:tcPr>
            <w:tcW w:w="220" w:type="dxa"/>
            <w:vAlign w:val="bottom"/>
            <w:tcBorders>
              <w:top w:val="single" w:sz="8" w:color="0000EE"/>
            </w:tcBorders>
            <w:gridSpan w:val="7"/>
          </w:tcPr>
          <w:p>
            <w:pPr>
              <w:spacing w:after="0"/>
              <w:rPr>
                <w:sz w:val="17"/>
                <w:szCs w:val="17"/>
                <w:color w:val="auto"/>
              </w:rPr>
            </w:pPr>
          </w:p>
        </w:tc>
        <w:tc>
          <w:tcPr>
            <w:tcW w:w="1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5"/>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Holder Representative.</w:t>
              </w:r>
            </w:hyperlink>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47">
              <w:r>
                <w:rPr>
                  <w:rFonts w:ascii="Times New Roman" w:cs="Times New Roman" w:eastAsia="Times New Roman" w:hAnsi="Times New Roman"/>
                  <w:sz w:val="18"/>
                  <w:szCs w:val="18"/>
                  <w:color w:val="0000EE"/>
                  <w:w w:val="98"/>
                </w:rPr>
                <w:t>Amended and Restated Certificate of</w:t>
              </w:r>
            </w:hyperlink>
          </w:p>
        </w:tc>
        <w:tc>
          <w:tcPr>
            <w:tcW w:w="900" w:type="dxa"/>
            <w:vAlign w:val="bottom"/>
            <w:gridSpan w:val="17"/>
          </w:tcPr>
          <w:p>
            <w:pPr>
              <w:spacing w:after="0"/>
              <w:rPr>
                <w:sz w:val="17"/>
                <w:szCs w:val="17"/>
                <w:color w:val="auto"/>
              </w:rPr>
            </w:pPr>
          </w:p>
        </w:tc>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333-235766</w:t>
            </w:r>
          </w:p>
        </w:tc>
        <w:tc>
          <w:tcPr>
            <w:tcW w:w="16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10/14/2020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Incorporation of Monocle Holdings Inc., dated</w:t>
              </w:r>
            </w:hyperlink>
          </w:p>
        </w:tc>
        <w:tc>
          <w:tcPr>
            <w:tcW w:w="20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5"/>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October 13, 2020.</w:t>
              </w:r>
            </w:hyperlink>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Certificate of Amendment to the Amended and</w:t>
              </w:r>
            </w:hyperlink>
          </w:p>
        </w:tc>
        <w:tc>
          <w:tcPr>
            <w:tcW w:w="180" w:type="dxa"/>
            <w:vAlign w:val="bottom"/>
            <w:gridSpan w:val="3"/>
          </w:tcPr>
          <w:p>
            <w:pPr>
              <w:spacing w:after="0"/>
              <w:rPr>
                <w:sz w:val="17"/>
                <w:szCs w:val="17"/>
                <w:color w:val="auto"/>
              </w:rPr>
            </w:pPr>
          </w:p>
        </w:tc>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12/23/2020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5"/>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Restated Certificate of Incorporation of</w:t>
              </w:r>
            </w:hyperlink>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20" w:type="dxa"/>
            <w:vAlign w:val="bottom"/>
            <w:gridSpan w:val="9"/>
            <w:shd w:val="clear" w:color="auto" w:fill="0000EE"/>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5"/>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Monocle Holdings Inc., dated December 22,</w:t>
              </w:r>
            </w:hyperlink>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20" w:type="dxa"/>
            <w:vAlign w:val="bottom"/>
            <w:gridSpan w:val="4"/>
          </w:tcPr>
          <w:p>
            <w:pPr>
              <w:ind w:left="200"/>
              <w:spacing w:after="0" w:line="196" w:lineRule="exact"/>
              <w:rPr>
                <w:rFonts w:ascii="Times New Roman" w:cs="Times New Roman" w:eastAsia="Times New Roman" w:hAnsi="Times New Roman"/>
                <w:sz w:val="18"/>
                <w:szCs w:val="18"/>
                <w:color w:val="0000EE"/>
                <w:w w:val="98"/>
              </w:rPr>
            </w:pPr>
            <w:hyperlink r:id="rId48">
              <w:r>
                <w:rPr>
                  <w:rFonts w:ascii="Times New Roman" w:cs="Times New Roman" w:eastAsia="Times New Roman" w:hAnsi="Times New Roman"/>
                  <w:sz w:val="18"/>
                  <w:szCs w:val="18"/>
                  <w:color w:val="0000EE"/>
                  <w:w w:val="98"/>
                </w:rPr>
                <w:t>2020.</w:t>
              </w:r>
            </w:hyperlink>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60" w:type="dxa"/>
            <w:vAlign w:val="bottom"/>
            <w:gridSpan w:val="2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tcPr>
          <w:p>
            <w:pPr>
              <w:spacing w:after="0"/>
              <w:rPr>
                <w:sz w:val="10"/>
                <w:szCs w:val="10"/>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160" w:type="dxa"/>
            <w:vAlign w:val="bottom"/>
          </w:tcPr>
          <w:p>
            <w:pPr>
              <w:spacing w:after="0"/>
              <w:rPr>
                <w:sz w:val="10"/>
                <w:szCs w:val="10"/>
                <w:color w:val="auto"/>
              </w:rPr>
            </w:pPr>
          </w:p>
        </w:tc>
        <w:tc>
          <w:tcPr>
            <w:tcW w:w="66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Furnished</w:t>
            </w:r>
          </w:p>
        </w:tc>
        <w:tc>
          <w:tcPr>
            <w:tcW w:w="0" w:type="dxa"/>
            <w:vAlign w:val="bottom"/>
          </w:tcPr>
          <w:p>
            <w:pPr>
              <w:spacing w:after="0"/>
              <w:rPr>
                <w:sz w:val="1"/>
                <w:szCs w:val="1"/>
                <w:color w:val="auto"/>
              </w:rPr>
            </w:pPr>
          </w:p>
        </w:tc>
      </w:tr>
      <w:tr>
        <w:trPr>
          <w:trHeight w:val="173"/>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25"/>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69"/>
        </w:trPr>
        <w:tc>
          <w:tcPr>
            <w:tcW w:w="7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4"/>
                <w:szCs w:val="14"/>
                <w:color w:val="auto"/>
              </w:rPr>
            </w:pPr>
          </w:p>
        </w:tc>
        <w:tc>
          <w:tcPr>
            <w:tcW w:w="3400" w:type="dxa"/>
            <w:vAlign w:val="bottom"/>
            <w:tcBorders>
              <w:top w:val="single" w:sz="8" w:color="auto"/>
              <w:bottom w:val="single" w:sz="8" w:color="0000EE"/>
            </w:tcBorders>
            <w:gridSpan w:val="26"/>
          </w:tcPr>
          <w:p>
            <w:pPr>
              <w:spacing w:after="0" w:line="169"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Certificate of Amendment to the Amended and</w:t>
              </w:r>
            </w:hyperlink>
          </w:p>
        </w:tc>
        <w:tc>
          <w:tcPr>
            <w:tcW w:w="40" w:type="dxa"/>
            <w:vAlign w:val="bottom"/>
            <w:tcBorders>
              <w:top w:val="single" w:sz="8" w:color="auto"/>
            </w:tcBorders>
            <w:gridSpan w:val="2"/>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10-Q</w:t>
            </w:r>
          </w:p>
        </w:tc>
        <w:tc>
          <w:tcPr>
            <w:tcW w:w="140" w:type="dxa"/>
            <w:vAlign w:val="bottom"/>
          </w:tcPr>
          <w:p>
            <w:pPr>
              <w:spacing w:after="0"/>
              <w:rPr>
                <w:sz w:val="14"/>
                <w:szCs w:val="14"/>
                <w:color w:val="auto"/>
              </w:rPr>
            </w:pPr>
          </w:p>
        </w:tc>
        <w:tc>
          <w:tcPr>
            <w:tcW w:w="11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4"/>
                <w:szCs w:val="14"/>
                <w:color w:val="auto"/>
              </w:rPr>
            </w:pPr>
          </w:p>
        </w:tc>
        <w:tc>
          <w:tcPr>
            <w:tcW w:w="5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3.3</w:t>
            </w:r>
          </w:p>
        </w:tc>
        <w:tc>
          <w:tcPr>
            <w:tcW w:w="160" w:type="dxa"/>
            <w:vAlign w:val="bottom"/>
          </w:tcPr>
          <w:p>
            <w:pPr>
              <w:spacing w:after="0"/>
              <w:rPr>
                <w:sz w:val="14"/>
                <w:szCs w:val="14"/>
                <w:color w:val="auto"/>
              </w:rPr>
            </w:pPr>
          </w:p>
        </w:tc>
        <w:tc>
          <w:tcPr>
            <w:tcW w:w="9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08/09/2021</w:t>
            </w:r>
          </w:p>
        </w:tc>
        <w:tc>
          <w:tcPr>
            <w:tcW w:w="16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Restated Certificate of Incorporation of</w:t>
              </w:r>
            </w:hyperlink>
          </w:p>
        </w:tc>
        <w:tc>
          <w:tcPr>
            <w:tcW w:w="580" w:type="dxa"/>
            <w:vAlign w:val="bottom"/>
            <w:gridSpan w:val="17"/>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AerSale Corporation, dated June 17, 2021.</w:t>
              </w:r>
            </w:hyperlink>
          </w:p>
        </w:tc>
        <w:tc>
          <w:tcPr>
            <w:tcW w:w="360" w:type="dxa"/>
            <w:vAlign w:val="bottom"/>
            <w:gridSpan w:val="13"/>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7"/>
                <w:szCs w:val="17"/>
                <w:color w:val="auto"/>
              </w:rPr>
            </w:pPr>
          </w:p>
        </w:tc>
        <w:tc>
          <w:tcPr>
            <w:tcW w:w="32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Amended and Restated By laws of Monocle</w:t>
              </w:r>
            </w:hyperlink>
          </w:p>
        </w:tc>
        <w:tc>
          <w:tcPr>
            <w:tcW w:w="240" w:type="dxa"/>
            <w:vAlign w:val="bottom"/>
            <w:gridSpan w:val="8"/>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333-235766</w:t>
            </w:r>
          </w:p>
        </w:tc>
        <w:tc>
          <w:tcPr>
            <w:tcW w:w="16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10/14/2020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Holdings Inc., dated October 13, 2020.</w:t>
              </w:r>
            </w:hyperlink>
          </w:p>
        </w:tc>
        <w:tc>
          <w:tcPr>
            <w:tcW w:w="620" w:type="dxa"/>
            <w:vAlign w:val="bottom"/>
            <w:gridSpan w:val="19"/>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Amendment No. 1 to the Amended and</w:t>
              </w:r>
            </w:hyperlink>
          </w:p>
        </w:tc>
        <w:tc>
          <w:tcPr>
            <w:tcW w:w="140" w:type="dxa"/>
            <w:vAlign w:val="bottom"/>
          </w:tcPr>
          <w:p>
            <w:pPr>
              <w:spacing w:after="0"/>
              <w:rPr>
                <w:sz w:val="17"/>
                <w:szCs w:val="17"/>
                <w:color w:val="auto"/>
              </w:rPr>
            </w:pPr>
          </w:p>
        </w:tc>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8-K12.</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6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12/23/2020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Restated Bylaws of Monocle Holdings Inc.,</w:t>
              </w:r>
            </w:hyperlink>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dated December 22, 2020.</w:t>
              </w:r>
            </w:hyperlink>
          </w:p>
        </w:tc>
        <w:tc>
          <w:tcPr>
            <w:tcW w:w="280" w:type="dxa"/>
            <w:vAlign w:val="bottom"/>
            <w:gridSpan w:val="10"/>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Specimen Common Stock Certificate of</w:t>
              </w:r>
            </w:hyperlink>
          </w:p>
        </w:tc>
        <w:tc>
          <w:tcPr>
            <w:tcW w:w="140" w:type="dxa"/>
            <w:vAlign w:val="bottom"/>
          </w:tcPr>
          <w:p>
            <w:pPr>
              <w:spacing w:after="0"/>
              <w:rPr>
                <w:sz w:val="17"/>
                <w:szCs w:val="17"/>
                <w:color w:val="auto"/>
              </w:rPr>
            </w:pPr>
          </w:p>
        </w:tc>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333-235766</w:t>
            </w:r>
          </w:p>
        </w:tc>
        <w:tc>
          <w:tcPr>
            <w:tcW w:w="16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02/14/2020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Monocle Holdings Inc.</w:t>
              </w:r>
            </w:hyperlink>
          </w:p>
        </w:tc>
        <w:tc>
          <w:tcPr>
            <w:tcW w:w="1200" w:type="dxa"/>
            <w:vAlign w:val="bottom"/>
            <w:tcBorders>
              <w:top w:val="single" w:sz="8" w:color="0000EE"/>
            </w:tcBorders>
            <w:gridSpan w:val="7"/>
          </w:tcPr>
          <w:p>
            <w:pPr>
              <w:spacing w:after="0"/>
              <w:rPr>
                <w:sz w:val="17"/>
                <w:szCs w:val="17"/>
                <w:color w:val="auto"/>
              </w:rPr>
            </w:pPr>
          </w:p>
        </w:tc>
        <w:tc>
          <w:tcPr>
            <w:tcW w:w="560" w:type="dxa"/>
            <w:vAlign w:val="bottom"/>
            <w:gridSpan w:val="16"/>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Specimen Warrant Certificate of Monocle</w:t>
              </w:r>
            </w:hyperlink>
          </w:p>
        </w:tc>
        <w:tc>
          <w:tcPr>
            <w:tcW w:w="140" w:type="dxa"/>
            <w:vAlign w:val="bottom"/>
          </w:tcPr>
          <w:p>
            <w:pPr>
              <w:spacing w:after="0"/>
              <w:rPr>
                <w:sz w:val="17"/>
                <w:szCs w:val="17"/>
                <w:color w:val="auto"/>
              </w:rPr>
            </w:pPr>
          </w:p>
        </w:tc>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333-235766</w:t>
            </w:r>
          </w:p>
        </w:tc>
        <w:tc>
          <w:tcPr>
            <w:tcW w:w="16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6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02/14/2020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Holdings Inc.</w:t>
              </w:r>
            </w:hyperlink>
          </w:p>
        </w:tc>
        <w:tc>
          <w:tcPr>
            <w:tcW w:w="420" w:type="dxa"/>
            <w:vAlign w:val="bottom"/>
            <w:gridSpan w:val="14"/>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7"/>
                <w:szCs w:val="17"/>
                <w:color w:val="auto"/>
              </w:rPr>
            </w:pPr>
          </w:p>
        </w:tc>
        <w:tc>
          <w:tcPr>
            <w:tcW w:w="32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Warrant Agreement, dated February 6, 2019,</w:t>
              </w:r>
            </w:hyperlink>
          </w:p>
        </w:tc>
        <w:tc>
          <w:tcPr>
            <w:tcW w:w="180" w:type="dxa"/>
            <w:vAlign w:val="bottom"/>
            <w:gridSpan w:val="5"/>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02/12/2019</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between Monocle Acquisition Corporation and</w:t>
              </w:r>
            </w:hyperlink>
          </w:p>
        </w:tc>
        <w:tc>
          <w:tcPr>
            <w:tcW w:w="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Continental Stock Transfer &amp; Trust Company,</w:t>
              </w:r>
            </w:hyperlink>
          </w:p>
        </w:tc>
        <w:tc>
          <w:tcPr>
            <w:tcW w:w="10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as warrant agent.</w:t>
              </w:r>
            </w:hyperlink>
          </w:p>
        </w:tc>
        <w:tc>
          <w:tcPr>
            <w:tcW w:w="2200" w:type="dxa"/>
            <w:vAlign w:val="bottom"/>
            <w:gridSpan w:val="24"/>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7"/>
                <w:szCs w:val="17"/>
                <w:color w:val="auto"/>
              </w:rPr>
            </w:pPr>
          </w:p>
        </w:tc>
        <w:tc>
          <w:tcPr>
            <w:tcW w:w="34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Assignment and Assumption Agreement, dated</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12/23/2020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December 22, 2020, by and among Monocle</w:t>
              </w:r>
            </w:hyperlink>
          </w:p>
        </w:tc>
        <w:tc>
          <w:tcPr>
            <w:tcW w:w="20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Holdings Inc., Monocle Acquisition</w:t>
              </w:r>
            </w:hyperlink>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Corporation and Continental Transfer &amp; Trust</w:t>
              </w:r>
            </w:hyperlink>
          </w:p>
        </w:tc>
        <w:tc>
          <w:tcPr>
            <w:tcW w:w="12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Company.</w:t>
              </w:r>
            </w:hyperlink>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Form of Restricted Stock Award Agreement</w:t>
              </w:r>
            </w:hyperlink>
          </w:p>
        </w:tc>
        <w:tc>
          <w:tcPr>
            <w:tcW w:w="140" w:type="dxa"/>
            <w:vAlign w:val="bottom"/>
          </w:tcPr>
          <w:p>
            <w:pPr>
              <w:spacing w:after="0"/>
              <w:rPr>
                <w:sz w:val="17"/>
                <w:szCs w:val="17"/>
                <w:color w:val="auto"/>
              </w:rPr>
            </w:pPr>
          </w:p>
        </w:tc>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08/07/2024</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under the Incentive Compensation Plan.</w:t>
              </w:r>
            </w:hyperlink>
          </w:p>
        </w:tc>
        <w:tc>
          <w:tcPr>
            <w:tcW w:w="280" w:type="dxa"/>
            <w:vAlign w:val="bottom"/>
            <w:tcBorders>
              <w:top w:val="single" w:sz="8" w:color="0000EE"/>
            </w:tcBorders>
            <w:gridSpan w:val="6"/>
          </w:tcPr>
          <w:p>
            <w:pPr>
              <w:spacing w:after="0"/>
              <w:rPr>
                <w:sz w:val="17"/>
                <w:szCs w:val="17"/>
                <w:color w:val="auto"/>
              </w:rPr>
            </w:pPr>
          </w:p>
        </w:tc>
        <w:tc>
          <w:tcPr>
            <w:tcW w:w="260" w:type="dxa"/>
            <w:vAlign w:val="bottom"/>
            <w:gridSpan w:val="9"/>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Form of Nonqualified Stock Option Award</w:t>
              </w:r>
            </w:hyperlink>
          </w:p>
        </w:tc>
        <w:tc>
          <w:tcPr>
            <w:tcW w:w="140" w:type="dxa"/>
            <w:vAlign w:val="bottom"/>
          </w:tcPr>
          <w:p>
            <w:pPr>
              <w:spacing w:after="0"/>
              <w:rPr>
                <w:sz w:val="17"/>
                <w:szCs w:val="17"/>
                <w:color w:val="auto"/>
              </w:rPr>
            </w:pPr>
          </w:p>
        </w:tc>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08/07/2024</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Agreement</w:t>
              </w:r>
            </w:hyperlink>
          </w:p>
        </w:tc>
        <w:tc>
          <w:tcPr>
            <w:tcW w:w="340" w:type="dxa"/>
            <w:vAlign w:val="bottom"/>
            <w:gridSpan w:val="12"/>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7"/>
                <w:szCs w:val="17"/>
                <w:color w:val="auto"/>
              </w:rPr>
            </w:pPr>
          </w:p>
        </w:tc>
        <w:tc>
          <w:tcPr>
            <w:tcW w:w="32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Form of Restricted Performance Unit Award</w:t>
              </w:r>
            </w:hyperlink>
          </w:p>
        </w:tc>
        <w:tc>
          <w:tcPr>
            <w:tcW w:w="220" w:type="dxa"/>
            <w:vAlign w:val="bottom"/>
            <w:gridSpan w:val="7"/>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08/07/2024</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Agreement</w:t>
              </w:r>
            </w:hyperlink>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7"/>
                <w:szCs w:val="17"/>
                <w:color w:val="auto"/>
              </w:rPr>
            </w:pPr>
          </w:p>
        </w:tc>
        <w:tc>
          <w:tcPr>
            <w:tcW w:w="31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w:t>
            </w:r>
          </w:p>
        </w:tc>
        <w:tc>
          <w:tcPr>
            <w:tcW w:w="300" w:type="dxa"/>
            <w:vAlign w:val="bottom"/>
            <w:gridSpan w:val="11"/>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pursuant to Rule 13a-14(a)/15d-14(a).</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360" w:type="dxa"/>
            <w:vAlign w:val="bottom"/>
            <w:gridSpan w:val="1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34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pursuant to Rule 13a-14(a)/15d-14(a).</w:t>
            </w:r>
          </w:p>
        </w:tc>
        <w:tc>
          <w:tcPr>
            <w:tcW w:w="360" w:type="dxa"/>
            <w:vAlign w:val="bottom"/>
            <w:gridSpan w:val="13"/>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7"/>
                <w:szCs w:val="17"/>
                <w:color w:val="auto"/>
              </w:rPr>
            </w:pPr>
          </w:p>
        </w:tc>
        <w:tc>
          <w:tcPr>
            <w:tcW w:w="31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w:t>
            </w:r>
          </w:p>
        </w:tc>
        <w:tc>
          <w:tcPr>
            <w:tcW w:w="300" w:type="dxa"/>
            <w:vAlign w:val="bottom"/>
            <w:gridSpan w:val="11"/>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gridSpan w:val="7"/>
            <w:shd w:val="clear" w:color="auto" w:fill="0000EE"/>
          </w:tcPr>
          <w:p>
            <w:pPr>
              <w:spacing w:after="0" w:line="20" w:lineRule="exact"/>
              <w:rPr>
                <w:sz w:val="1"/>
                <w:szCs w:val="1"/>
                <w:color w:val="auto"/>
              </w:rPr>
            </w:pPr>
          </w:p>
        </w:tc>
        <w:tc>
          <w:tcPr>
            <w:tcW w:w="840" w:type="dxa"/>
            <w:vAlign w:val="bottom"/>
            <w:gridSpan w:val="2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7"/>
                <w:szCs w:val="17"/>
                <w:color w:val="auto"/>
              </w:rPr>
            </w:pPr>
          </w:p>
        </w:tc>
        <w:tc>
          <w:tcPr>
            <w:tcW w:w="34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w:t>
            </w:r>
          </w:p>
        </w:tc>
        <w:tc>
          <w:tcPr>
            <w:tcW w:w="360" w:type="dxa"/>
            <w:vAlign w:val="bottom"/>
            <w:gridSpan w:val="13"/>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600" w:type="dxa"/>
            <w:vAlign w:val="bottom"/>
            <w:gridSpan w:val="7"/>
            <w:shd w:val="clear" w:color="auto" w:fill="0000EE"/>
          </w:tcPr>
          <w:p>
            <w:pPr>
              <w:spacing w:after="0" w:line="20" w:lineRule="exact"/>
              <w:rPr>
                <w:sz w:val="1"/>
                <w:szCs w:val="1"/>
                <w:color w:val="auto"/>
              </w:rPr>
            </w:pPr>
          </w:p>
        </w:tc>
        <w:tc>
          <w:tcPr>
            <w:tcW w:w="840" w:type="dxa"/>
            <w:vAlign w:val="bottom"/>
            <w:gridSpan w:val="2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4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4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Document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34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4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34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4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358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16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Furnished</w:t>
            </w:r>
          </w:p>
        </w:tc>
        <w:tc>
          <w:tcPr>
            <w:tcW w:w="0" w:type="dxa"/>
            <w:vAlign w:val="bottom"/>
          </w:tcPr>
          <w:p>
            <w:pPr>
              <w:spacing w:after="0"/>
              <w:rPr>
                <w:sz w:val="1"/>
                <w:szCs w:val="1"/>
                <w:color w:val="auto"/>
              </w:rPr>
            </w:pPr>
          </w:p>
        </w:tc>
      </w:tr>
      <w:tr>
        <w:trPr>
          <w:trHeight w:val="173"/>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5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91"/>
        </w:trPr>
        <w:tc>
          <w:tcPr>
            <w:tcW w:w="7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6"/>
                <w:szCs w:val="16"/>
                <w:color w:val="auto"/>
              </w:rPr>
            </w:pPr>
          </w:p>
        </w:tc>
        <w:tc>
          <w:tcPr>
            <w:tcW w:w="3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1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with applicable taxonomy</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extension information contained in Exhibit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80" w:hanging="83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880" w:hanging="83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239"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72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AerSale Corporation</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8, 2024</w:t>
            </w:r>
          </w:p>
        </w:tc>
        <w:tc>
          <w:tcPr>
            <w:tcW w:w="16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Nicolas Finazzo</w:t>
            </w:r>
          </w:p>
        </w:tc>
      </w:tr>
      <w:tr>
        <w:trPr>
          <w:trHeight w:val="191"/>
        </w:trPr>
        <w:tc>
          <w:tcPr>
            <w:tcW w:w="4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Nicolas Finazzo</w:t>
            </w:r>
          </w:p>
        </w:tc>
      </w:tr>
      <w:tr>
        <w:trPr>
          <w:trHeight w:val="214"/>
        </w:trPr>
        <w:tc>
          <w:tcPr>
            <w:tcW w:w="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 Director</w:t>
            </w:r>
          </w:p>
        </w:tc>
      </w:tr>
      <w:tr>
        <w:trPr>
          <w:trHeight w:val="236"/>
        </w:trPr>
        <w:tc>
          <w:tcPr>
            <w:tcW w:w="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5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8, 2024</w:t>
            </w:r>
          </w:p>
        </w:tc>
        <w:tc>
          <w:tcPr>
            <w:tcW w:w="16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Martin Garmendia</w:t>
            </w:r>
          </w:p>
        </w:tc>
      </w:tr>
      <w:tr>
        <w:trPr>
          <w:trHeight w:val="211"/>
        </w:trPr>
        <w:tc>
          <w:tcPr>
            <w:tcW w:w="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Martin Garmendia</w:t>
            </w:r>
          </w:p>
        </w:tc>
      </w:tr>
    </w:tbl>
    <w:p>
      <w:pPr>
        <w:ind w:left="49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Nicolas Finazzo, certify that:</w:t>
      </w:r>
    </w:p>
    <w:p>
      <w:pPr>
        <w:spacing w:after="0" w:line="117" w:lineRule="exact"/>
        <w:rPr>
          <w:sz w:val="20"/>
          <w:szCs w:val="20"/>
          <w:color w:val="auto"/>
        </w:rPr>
      </w:pPr>
    </w:p>
    <w:p>
      <w:pPr>
        <w:ind w:left="440" w:hanging="43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AerSale Corporation;</w:t>
      </w:r>
    </w:p>
    <w:p>
      <w:pPr>
        <w:spacing w:after="0" w:line="117"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40" w:hanging="432"/>
        <w:spacing w:after="0" w:line="266"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80" w:right="520" w:hanging="440"/>
        <w:spacing w:after="0" w:line="289" w:lineRule="auto"/>
        <w:tabs>
          <w:tab w:leader="none" w:pos="88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80" w:right="60" w:hanging="440"/>
        <w:spacing w:after="0" w:line="266"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right="80" w:hanging="432"/>
        <w:spacing w:after="0" w:line="266"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right="700" w:hanging="440"/>
        <w:spacing w:after="0" w:line="282"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020" w:val="left"/>
          <w:tab w:leader="none" w:pos="690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Nicolas Finazzo</w:t>
      </w:r>
    </w:p>
    <w:p>
      <w:pPr>
        <w:spacing w:after="0" w:line="3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Garmendia, certify that:</w:t>
      </w:r>
    </w:p>
    <w:p>
      <w:pPr>
        <w:spacing w:after="0" w:line="117"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AerSale Corporation;</w:t>
      </w:r>
    </w:p>
    <w:p>
      <w:pPr>
        <w:spacing w:after="0" w:line="117"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40" w:hanging="432"/>
        <w:spacing w:after="0" w:line="266"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80" w:right="520" w:hanging="440"/>
        <w:spacing w:after="0" w:line="289" w:lineRule="auto"/>
        <w:tabs>
          <w:tab w:leader="none" w:pos="88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80" w:right="60" w:hanging="440"/>
        <w:spacing w:after="0" w:line="266" w:lineRule="auto"/>
        <w:tabs>
          <w:tab w:leader="none" w:pos="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right="80" w:hanging="432"/>
        <w:spacing w:after="0" w:line="266"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right="700" w:hanging="440"/>
        <w:spacing w:after="0" w:line="282" w:lineRule="auto"/>
        <w:tabs>
          <w:tab w:leader="none" w:pos="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020" w:val="left"/>
          <w:tab w:leader="none" w:pos="682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Martin Garmendia</w:t>
      </w:r>
    </w:p>
    <w:p>
      <w:pPr>
        <w:spacing w:after="0" w:line="3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ind w:right="180"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AerSale Corporation (the “Company”) for the period ended September 30, 2024 as filed with the Securities and Exchange Commission on the date hereof (the “Report”), I, Nicolas Finazzo, Chief Executive Officer of the Company, hereby certify, pursuant to 18 U.S.C. § 1350, as adopted pursuant to § 906 of the Sarbanes-Oxley Act of 2002, that, to the best of my knowledge:</w:t>
      </w:r>
    </w:p>
    <w:p>
      <w:pPr>
        <w:spacing w:after="0" w:line="72" w:lineRule="exact"/>
        <w:rPr>
          <w:sz w:val="20"/>
          <w:szCs w:val="20"/>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880" w:right="64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020" w:val="left"/>
          <w:tab w:leader="none" w:pos="690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Nicolas Finazzo</w:t>
      </w:r>
    </w:p>
    <w:p>
      <w:pPr>
        <w:spacing w:after="0" w:line="3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ind w:right="120"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AerSale Corporation (the “Company”) for the period ended September 30, 2024 as filed with the Securities and Exchange Commission on the date hereof (the “Report”), I, Martin Garmendia, Chief Financial Officer of the Company, hereby certify, pursuant to 18 U.S.C. § 1350, as adopted pursuant to § 906 of the Sarbanes-Oxley Act of 2002, that, to the best of my knowledge:</w:t>
      </w:r>
    </w:p>
    <w:p>
      <w:pPr>
        <w:spacing w:after="0" w:line="72" w:lineRule="exact"/>
        <w:rPr>
          <w:sz w:val="20"/>
          <w:szCs w:val="20"/>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880" w:right="640" w:hanging="440"/>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020" w:val="left"/>
          <w:tab w:leader="none" w:pos="682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Martin Garmendia</w:t>
      </w:r>
    </w:p>
    <w:p>
      <w:pPr>
        <w:spacing w:after="0" w:line="3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42" Type="http://schemas.openxmlformats.org/officeDocument/2006/relationships/hyperlink" Target="https://www.sec.gov/Archives/edgar/data/1754170/000155837024013693/asle-20241025xex1d1.htm" TargetMode="External"/><Relationship Id="rId43" Type="http://schemas.openxmlformats.org/officeDocument/2006/relationships/hyperlink" Target="https://www.sec.gov/Archives/edgar/data/1754170/000110465919070782/tm1924738d1_ex2-1.htm" TargetMode="External"/><Relationship Id="rId44" Type="http://schemas.openxmlformats.org/officeDocument/2006/relationships/hyperlink" Target="https://www.sec.gov/Archives/edgar/data/1754170/000110465920094881/tm2020432d1_ex2-1.htm" TargetMode="External"/><Relationship Id="rId45" Type="http://schemas.openxmlformats.org/officeDocument/2006/relationships/hyperlink" Target="https://www.sec.gov/Archives/edgar/data/1754170/000110465920103066/tm2029921d1_ex2-1.htm" TargetMode="External"/><Relationship Id="rId46" Type="http://schemas.openxmlformats.org/officeDocument/2006/relationships/hyperlink" Target="https://www.sec.gov/Archives/edgar/data/1754170/000110465920136508/tm2038647d1_ex10-5.htm" TargetMode="External"/><Relationship Id="rId47" Type="http://schemas.openxmlformats.org/officeDocument/2006/relationships/hyperlink" Target="https://www.sec.gov/Archives/edgar/data/1797381/000110465920114657/tm2025456d6_ex3-1.htm" TargetMode="External"/><Relationship Id="rId48" Type="http://schemas.openxmlformats.org/officeDocument/2006/relationships/hyperlink" Target="https://www.sec.gov/Archives/edgar/data/1754170/000110465920139143/tm2039148d1_ex3-2.htm" TargetMode="External"/><Relationship Id="rId50" Type="http://schemas.openxmlformats.org/officeDocument/2006/relationships/hyperlink" Target="https://www.sec.gov/Archives/edgar/data/1754170/000155837021010881/asle-20210630xex3d3.htm" TargetMode="External"/><Relationship Id="rId51" Type="http://schemas.openxmlformats.org/officeDocument/2006/relationships/hyperlink" Target="https://www.sec.gov/Archives/edgar/data/1797381/000110465920114657/tm2025456d6_ex3-2.htm" TargetMode="External"/><Relationship Id="rId52" Type="http://schemas.openxmlformats.org/officeDocument/2006/relationships/hyperlink" Target="https://www.sec.gov/Archives/edgar/data/1754170/000110465920139143/tm2039148d1_ex3-4.htm" TargetMode="External"/><Relationship Id="rId53" Type="http://schemas.openxmlformats.org/officeDocument/2006/relationships/hyperlink" Target="https://www.sec.gov/Archives/edgar/data/1797381/000110465920020784/tv535584_ex4-2.htm" TargetMode="External"/><Relationship Id="rId54" Type="http://schemas.openxmlformats.org/officeDocument/2006/relationships/hyperlink" Target="https://www.sec.gov/Archives/edgar/data/1797381/000110465920020784/tv535584_ex4-3.htm" TargetMode="External"/><Relationship Id="rId55" Type="http://schemas.openxmlformats.org/officeDocument/2006/relationships/hyperlink" Target="https://www.sec.gov/Archives/edgar/data/1754170/000114420419006634/tv513034_ex4-1.htm" TargetMode="External"/><Relationship Id="rId56" Type="http://schemas.openxmlformats.org/officeDocument/2006/relationships/hyperlink" Target="https://www.sec.gov/Archives/edgar/data/1754170/000110465920139143/tm2039148d1_ex10-9.htm" TargetMode="External"/><Relationship Id="rId57" Type="http://schemas.openxmlformats.org/officeDocument/2006/relationships/hyperlink" Target="https://www.sec.gov/Archives/edgar/data/1754170/000155837024011383/asle-20240630xex10d1.htm" TargetMode="External"/><Relationship Id="rId58" Type="http://schemas.openxmlformats.org/officeDocument/2006/relationships/hyperlink" Target="https://www.sec.gov/Archives/edgar/data/1754170/000155837024011383/asle-20240630xex10d2.htm" TargetMode="External"/><Relationship Id="rId59" Type="http://schemas.openxmlformats.org/officeDocument/2006/relationships/hyperlink" Target="https://www.sec.gov/Archives/edgar/data/1754170/000155837024011383/asle-20240630x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2024-11-08T07:13:18Z</dcterms:created>
  <dcterms:modified xsi:type="dcterms:W3CDTF">2024-11-08T07:13:18Z</dcterms:modified>
</cp:coreProperties>
</file>