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420370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70485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122555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7" w:lineRule="exact"/>
        <w:rPr>
          <w:sz w:val="24"/>
          <w:szCs w:val="24"/>
          <w:color w:val="auto"/>
        </w:rPr>
      </w:pPr>
    </w:p>
    <w:p>
      <w:pPr>
        <w:ind w:left="3930" w:right="3460" w:hanging="3930"/>
        <w:spacing w:after="0" w:line="310" w:lineRule="auto"/>
        <w:tabs>
          <w:tab w:leader="none" w:pos="652"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2023</w:t>
      </w:r>
    </w:p>
    <w:p>
      <w:pPr>
        <w:ind w:left="5010"/>
        <w:spacing w:after="0"/>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OR</w:t>
      </w:r>
    </w:p>
    <w:p>
      <w:pPr>
        <w:spacing w:after="0" w:line="59" w:lineRule="exact"/>
        <w:rPr>
          <w:sz w:val="24"/>
          <w:szCs w:val="24"/>
          <w:color w:val="auto"/>
        </w:rPr>
      </w:pPr>
    </w:p>
    <w:p>
      <w:pPr>
        <w:ind w:left="650" w:hanging="650"/>
        <w:spacing w:after="0"/>
        <w:tabs>
          <w:tab w:leader="none" w:pos="65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6" w:lineRule="exact"/>
        <w:rPr>
          <w:sz w:val="24"/>
          <w:szCs w:val="24"/>
          <w:color w:val="auto"/>
        </w:rPr>
      </w:pPr>
    </w:p>
    <w:p>
      <w:pPr>
        <w:ind w:left="4170"/>
        <w:spacing w:after="0"/>
        <w:tabs>
          <w:tab w:leader="none" w:pos="593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ind w:left="4130"/>
        <w:spacing w:after="0"/>
        <w:rPr>
          <w:sz w:val="20"/>
          <w:szCs w:val="20"/>
          <w:color w:val="auto"/>
        </w:rPr>
      </w:pPr>
      <w:r>
        <w:rPr>
          <w:rFonts w:ascii="Times New Roman" w:cs="Times New Roman" w:eastAsia="Times New Roman" w:hAnsi="Times New Roman"/>
          <w:sz w:val="13"/>
          <w:szCs w:val="13"/>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27940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AerSale Corporation</w:t>
            </w: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660" w:type="dxa"/>
            <w:vAlign w:val="bottom"/>
            <w:gridSpan w:val="2"/>
            <w:vMerge w:val="restart"/>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580" w:type="dxa"/>
            <w:vAlign w:val="bottom"/>
            <w:gridSpan w:val="2"/>
            <w:vMerge w:val="restart"/>
          </w:tcPr>
          <w:p>
            <w:pPr>
              <w:jc w:val="right"/>
              <w:ind w:right="2057"/>
              <w:spacing w:after="0"/>
              <w:rPr>
                <w:sz w:val="20"/>
                <w:szCs w:val="20"/>
                <w:color w:val="auto"/>
              </w:rPr>
            </w:pPr>
            <w:r>
              <w:rPr>
                <w:rFonts w:ascii="Times New Roman" w:cs="Times New Roman" w:eastAsia="Times New Roman" w:hAnsi="Times New Roman"/>
                <w:sz w:val="13"/>
                <w:szCs w:val="13"/>
                <w:b w:val="1"/>
                <w:bCs w:val="1"/>
                <w:color w:val="auto"/>
              </w:rPr>
              <w:t>84-3976002</w:t>
            </w:r>
          </w:p>
        </w:tc>
        <w:tc>
          <w:tcPr>
            <w:tcW w:w="0" w:type="dxa"/>
            <w:vAlign w:val="bottom"/>
          </w:tcPr>
          <w:p>
            <w:pPr>
              <w:spacing w:after="0"/>
              <w:rPr>
                <w:sz w:val="1"/>
                <w:szCs w:val="1"/>
                <w:color w:val="auto"/>
              </w:rPr>
            </w:pPr>
          </w:p>
        </w:tc>
      </w:tr>
      <w:tr>
        <w:trPr>
          <w:trHeight w:val="270"/>
        </w:trPr>
        <w:tc>
          <w:tcPr>
            <w:tcW w:w="36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Pr>
          <w:p>
            <w:pPr>
              <w:jc w:val="center"/>
              <w:ind w:right="14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98"/>
        </w:trPr>
        <w:tc>
          <w:tcPr>
            <w:tcW w:w="3660" w:type="dxa"/>
            <w:vAlign w:val="bottom"/>
            <w:gridSpan w:val="2"/>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6"/>
              </w:rPr>
              <w:t>255 Alhambra Circle, Suite</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435 Coral Gables, Florida</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gridSpan w:val="2"/>
          </w:tcPr>
          <w:p>
            <w:pPr>
              <w:jc w:val="right"/>
              <w:ind w:right="2197"/>
              <w:spacing w:after="0" w:line="135" w:lineRule="exact"/>
              <w:rPr>
                <w:sz w:val="20"/>
                <w:szCs w:val="20"/>
                <w:color w:val="auto"/>
              </w:rPr>
            </w:pPr>
            <w:r>
              <w:rPr>
                <w:rFonts w:ascii="Times New Roman" w:cs="Times New Roman" w:eastAsia="Times New Roman" w:hAnsi="Times New Roman"/>
                <w:sz w:val="13"/>
                <w:szCs w:val="13"/>
                <w:b w:val="1"/>
                <w:bCs w:val="1"/>
                <w:color w:val="auto"/>
              </w:rPr>
              <w:t>33134</w:t>
            </w:r>
          </w:p>
        </w:tc>
        <w:tc>
          <w:tcPr>
            <w:tcW w:w="0" w:type="dxa"/>
            <w:vAlign w:val="bottom"/>
          </w:tcPr>
          <w:p>
            <w:pPr>
              <w:spacing w:after="0"/>
              <w:rPr>
                <w:sz w:val="1"/>
                <w:szCs w:val="1"/>
                <w:color w:val="auto"/>
              </w:rPr>
            </w:pP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2"/>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(305) 764-3200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29"/>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color w:val="auto"/>
                <w:w w:val="98"/>
              </w:rPr>
              <w:t>ASLE</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5"/>
              </w:rPr>
              <w:t>The Nasdaq Capital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ind w:left="10" w:right="3540"/>
        <w:spacing w:after="0" w:line="215"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18" w:lineRule="exact"/>
        <w:rPr>
          <w:sz w:val="24"/>
          <w:szCs w:val="24"/>
          <w:color w:val="auto"/>
        </w:rPr>
      </w:pPr>
    </w:p>
    <w:p>
      <w:pPr>
        <w:jc w:val="both"/>
        <w:ind w:left="10" w:right="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jc w:val="both"/>
        <w:ind w:left="10" w:right="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2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9"/>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20" w:type="dxa"/>
            <w:vAlign w:val="bottom"/>
          </w:tcPr>
          <w:p>
            <w:pPr>
              <w:ind w:left="40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00"/>
              <w:spacing w:after="0" w:line="149" w:lineRule="exact"/>
              <w:rPr>
                <w:sz w:val="20"/>
                <w:szCs w:val="20"/>
                <w:color w:val="auto"/>
              </w:rPr>
            </w:pPr>
            <w:r>
              <w:rPr>
                <w:rFonts w:ascii="Arial Unicode MS" w:cs="Arial Unicode MS" w:eastAsia="Arial Unicode MS" w:hAnsi="Arial Unicode MS"/>
                <w:sz w:val="13"/>
                <w:szCs w:val="13"/>
                <w:color w:val="auto"/>
                <w:w w:val="91"/>
              </w:rPr>
              <w:t>⌧</w:t>
            </w:r>
          </w:p>
        </w:tc>
      </w:tr>
      <w:tr>
        <w:trPr>
          <w:trHeight w:val="213"/>
        </w:trPr>
        <w:tc>
          <w:tcPr>
            <w:tcW w:w="15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160" w:lineRule="exact"/>
        <w:rPr>
          <w:sz w:val="24"/>
          <w:szCs w:val="24"/>
          <w:color w:val="auto"/>
        </w:rPr>
      </w:pPr>
    </w:p>
    <w:p>
      <w:pPr>
        <w:jc w:val="both"/>
        <w:ind w:left="10" w:right="4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left="10" w:right="88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10" w:right="52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10" w:right="2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1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jc w:val="both"/>
        <w:ind w:left="10" w:right="20"/>
        <w:spacing w:after="0" w:line="232"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based on the closing price of $14.70 for shares of the registrant’s common stock on The Nasdaq Capital Market on June 30, 2023, was approximately $421 million. Shares of common stock beneficially owned by each executive officer, director, and holder of more than 10% of our common stock have been excluded in that such persons may be deemed to be affiliates.</w:t>
      </w:r>
    </w:p>
    <w:p>
      <w:pPr>
        <w:spacing w:after="0" w:line="3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5, 2024 was 51,990,947.</w:t>
      </w:r>
    </w:p>
    <w:p>
      <w:pPr>
        <w:spacing w:after="0" w:line="65" w:lineRule="exact"/>
        <w:rPr>
          <w:sz w:val="24"/>
          <w:szCs w:val="24"/>
          <w:color w:val="auto"/>
        </w:rPr>
      </w:pPr>
    </w:p>
    <w:p>
      <w:pPr>
        <w:ind w:left="367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2024 Annual Meeting of Stockholders to be filed with the Securities and Exchange Commission within 120 days of the end of the registrant’s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533400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61595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104775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540" w:type="dxa"/>
            <w:vAlign w:val="bottom"/>
          </w:tcPr>
          <w:p>
            <w:pPr>
              <w:spacing w:after="0"/>
              <w:rPr>
                <w:sz w:val="20"/>
                <w:szCs w:val="20"/>
                <w:color w:val="auto"/>
              </w:rPr>
            </w:pPr>
          </w:p>
        </w:tc>
      </w:tr>
      <w:tr>
        <w:trPr>
          <w:trHeight w:val="446"/>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1.</w:t>
            </w:r>
          </w:p>
        </w:tc>
        <w:tc>
          <w:tcPr>
            <w:tcW w:w="240" w:type="dxa"/>
            <w:vAlign w:val="bottom"/>
            <w:gridSpan w:val="3"/>
          </w:tcPr>
          <w:p>
            <w:pPr>
              <w:spacing w:after="0"/>
              <w:rPr>
                <w:sz w:val="16"/>
                <w:szCs w:val="16"/>
                <w:color w:val="auto"/>
              </w:rPr>
            </w:pP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1B</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1C.</w:t>
            </w:r>
          </w:p>
        </w:tc>
        <w:tc>
          <w:tcPr>
            <w:tcW w:w="12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602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240" w:type="dxa"/>
            <w:vAlign w:val="bottom"/>
            <w:gridSpan w:val="3"/>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44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240" w:type="dxa"/>
            <w:vAlign w:val="bottom"/>
            <w:gridSpan w:val="3"/>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562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240" w:type="dxa"/>
            <w:vAlign w:val="bottom"/>
            <w:gridSpan w:val="3"/>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0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5.</w:t>
            </w:r>
          </w:p>
        </w:tc>
        <w:tc>
          <w:tcPr>
            <w:tcW w:w="240" w:type="dxa"/>
            <w:vAlign w:val="bottom"/>
            <w:gridSpan w:val="3"/>
          </w:tcPr>
          <w:p>
            <w:pPr>
              <w:spacing w:after="0"/>
              <w:rPr>
                <w:sz w:val="16"/>
                <w:szCs w:val="16"/>
                <w:color w:val="auto"/>
              </w:rPr>
            </w:pP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w:t>
            </w:r>
          </w:p>
        </w:tc>
        <w:tc>
          <w:tcPr>
            <w:tcW w:w="540" w:type="dxa"/>
            <w:vAlign w:val="bottom"/>
          </w:tcPr>
          <w:p>
            <w:pPr>
              <w:spacing w:after="0"/>
              <w:rPr>
                <w:sz w:val="16"/>
                <w:szCs w:val="16"/>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AND ISSUER PURCHASES OF EQUITY SECURITIES</w:t>
            </w:r>
          </w:p>
        </w:tc>
        <w:tc>
          <w:tcPr>
            <w:tcW w:w="2960" w:type="dxa"/>
            <w:vAlign w:val="bottom"/>
            <w:tcBorders>
              <w:top w:val="single" w:sz="8" w:color="0000EE"/>
            </w:tcBorders>
            <w:gridSpan w:val="7"/>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240" w:type="dxa"/>
            <w:vAlign w:val="bottom"/>
            <w:gridSpan w:val="3"/>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646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OF OPERATIONS</w:t>
            </w:r>
          </w:p>
        </w:tc>
        <w:tc>
          <w:tcPr>
            <w:tcW w:w="6120" w:type="dxa"/>
            <w:vAlign w:val="bottom"/>
            <w:tcBorders>
              <w:top w:val="single" w:sz="8" w:color="0000EE"/>
            </w:tcBorders>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1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1480" w:type="dxa"/>
            <w:vAlign w:val="bottom"/>
            <w:tcBorders>
              <w:top w:val="single" w:sz="8" w:color="0000EE"/>
            </w:tcBorders>
            <w:gridSpan w:val="2"/>
          </w:tcPr>
          <w:p>
            <w:pPr>
              <w:spacing w:after="0"/>
              <w:rPr>
                <w:sz w:val="17"/>
                <w:szCs w:val="17"/>
                <w:color w:val="auto"/>
              </w:rPr>
            </w:pPr>
          </w:p>
        </w:tc>
        <w:tc>
          <w:tcPr>
            <w:tcW w:w="136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240" w:type="dxa"/>
            <w:vAlign w:val="bottom"/>
            <w:gridSpan w:val="3"/>
          </w:tcPr>
          <w:p>
            <w:pPr>
              <w:spacing w:after="0"/>
              <w:rPr>
                <w:sz w:val="17"/>
                <w:szCs w:val="17"/>
                <w:color w:val="auto"/>
              </w:rPr>
            </w:pP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DISCLOSURE</w:t>
            </w:r>
          </w:p>
        </w:tc>
        <w:tc>
          <w:tcPr>
            <w:tcW w:w="5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9A</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ITEM 10.</w:t>
            </w: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160" w:type="dxa"/>
            <w:vAlign w:val="bottom"/>
            <w:gridSpan w:val="2"/>
          </w:tcPr>
          <w:p>
            <w:pPr>
              <w:spacing w:after="0"/>
              <w:rPr>
                <w:sz w:val="17"/>
                <w:szCs w:val="17"/>
                <w:color w:val="auto"/>
              </w:rPr>
            </w:pPr>
          </w:p>
        </w:tc>
        <w:tc>
          <w:tcPr>
            <w:tcW w:w="5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70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RELATED STOCKHOLDER MATTERS</w:t>
            </w: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INDEPENDENCE</w:t>
            </w:r>
          </w:p>
        </w:tc>
        <w:tc>
          <w:tcPr>
            <w:tcW w:w="12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ITEM 15.</w:t>
            </w: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560" w:type="dxa"/>
            <w:vAlign w:val="bottom"/>
            <w:gridSpan w:val="8"/>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may constitute forward-looking statements, and include, but are not limited to, changes in the market for our services; changes in applicable laws or regulations; the ability to launch new services and products or to profitably expand into new markets;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Annual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shares of common stock. The principal risks and uncertainties affecting our business include the following: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AerSale’s Business and Industry</w:t>
      </w:r>
    </w:p>
    <w:p>
      <w:pPr>
        <w:spacing w:after="0" w:line="229"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supply chain;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adversely impact the commercial aviation industry;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fluctuating market value of our products;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repossess mid-life commercial aircraft and engines (“Flight Equipment”) when a lessee defaults;</w:t>
      </w: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at our maintenance, repair and overhaul (“MRO”) facilities is dependent upon continued outsourcing by airlines;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skilled personnel or work stoppages;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certain components and raw materials from suppliers;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markets in which we operate;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from business acquisitions and integration of new businesses acquired;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unique risks we encounter by supplying equipment and services to the U.S. government;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or other security threats or disruptions;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capital expenditures that may be required to keep pace with technological developments in our industry;</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certain intellectual property and tooling that is important to our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to protect our intellectual property;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facilities, which are subject to physical and other risks that could disrupt production;</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any improper conduct by our employees, agents, subcontractors, suppliers, business ventures or joint ventures in which we participate;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services from key employees;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subcontractors to perform their contractual obligations;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future outbreaks and infectious diseases on flight activity, demand for MRO and leasing services, our business partners or customers, and the related macro environment;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and Financial Risks</w:t>
      </w:r>
    </w:p>
    <w:p>
      <w:pPr>
        <w:spacing w:after="0" w:line="229" w:lineRule="exact"/>
        <w:rPr>
          <w:sz w:val="20"/>
          <w:szCs w:val="20"/>
          <w:color w:val="auto"/>
        </w:rPr>
      </w:pPr>
    </w:p>
    <w:p>
      <w:pPr>
        <w:ind w:left="1040" w:right="7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continued availability of financing to manage our business and to execute our business strategy, and unavailability of additional financing on terms acceptable to us;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the documents governing our existing and future indebtedness;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current and future operations from restrictive covenants contained in documents governing our indebtedness;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foreign currency exchange rates and swap counterparty risks;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9" w:lineRule="exact"/>
        <w:rPr>
          <w:sz w:val="20"/>
          <w:szCs w:val="20"/>
          <w:color w:val="auto"/>
        </w:rPr>
      </w:pPr>
    </w:p>
    <w:p>
      <w:pPr>
        <w:ind w:left="1040" w:right="7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government regulation and may need to incur significant expenses to comply with new or more stringent government regulation;</w:t>
      </w:r>
    </w:p>
    <w:p>
      <w:pPr>
        <w:ind w:left="1040" w:right="79" w:hanging="315"/>
        <w:spacing w:after="0" w:line="26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other anti-corruption laws, export control laws, import control laws, trade and economic sanction laws and other laws governing our operations;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regulatory proceedings or litigation including product liability, intellectual property disputes and other claims not adequately covered by insurance;</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of Flight Equipment could exceed the value of such Flight Equipment;</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leased aircraft engines are deemed accessions to the aircraft and our ability to repossess an engine is impaired;</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other liability claims not covered by insurance;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environmental requirements with which we must comply;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or by legal, regulatory or market responses to such change;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9" w:lineRule="exact"/>
        <w:rPr>
          <w:sz w:val="20"/>
          <w:szCs w:val="20"/>
          <w:color w:val="auto"/>
        </w:rPr>
      </w:pPr>
    </w:p>
    <w:p>
      <w:pPr>
        <w:ind w:left="1040" w:right="7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stock price as a result of substantial future sales of our common stock, or the perception in the public markets that these sales may occur;</w:t>
      </w: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analyst coverage for our common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sales of significant amounts of our common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do not intend to pay dividends on our common stock for the foreseeable future;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due to our filing status as an “emerging growth company”;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internal control over financial reporting;</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of our customers;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 of negative economic conditions.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as a Delaware corporation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22, 2020, Monocle consummated the previously announced business combination pursuant to that certain Amended and Restated Agreement and Plan of Merger, dated September 8, 2020 (the “Merger Agreement”) by and among Monocle,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and (b) Merger Sub 2 was merged with and into AerSale Aviation, with AerSale Aviation surviving the merger as a wholly-owned indirect subsidiary of the Company. In connection with the closing of the Business Combination,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Business and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mission is to provide full-service support to owners and operators of mid-life commercial aircraft who lack the infrastructure and/or expertise to cost effectively maintain such aircraft during the second half of their operating life through their retirement from service. By providing a one-stop shop that integrates multiple service and product offerings, we save our customers time and money, while providing value to our stockholders through our operating efficiency. We were founded in 2008 by Nicolas Finazzo and Robert B. Nichols as a platform to serve the aviation aftermarket. In early 2010, we partnered with private equity firm Leonard Green &amp; Partners, L.P. to scale our business and finance the creation of a purpose built and fully integrated aviation company. Since our founding, we have established a global footprint and scalable platform for growth.</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business is comprised of two reporting segments: Asset Management Solutions and Technical Operations (“TechOps”), which, taken together, provide comprehensive support to owners and operators of used commercial aircraft.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Solutions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Asset Management Solutions segment, which represented approximately 64% and 68% of our revenue during the fiscal years ended December 31, 2023 and 2022, respectively, acquires Flight Equipment from airlines and leasing companies as feedstock to support our business activities. Asset Management Solutions activities include the sale and lease of aircraft and engines, as well as the disassembly of these assets for component parts (such as used serviceable material (“USM”)) that can be utilized to support third-party sales and lower the cost to maintain our portfolio of leased assets. Our aircraft and engines generally provide highly customized full-service, short-term lease support, where an operator is provided with a turn-key piece of Flight Equipment that can meet the customer’s specific needs. Our business model provides an alternative to the procurement of new aircraft, engines and parts traditionally sold by original equipment manufacturers (“OEMs”) or delivered new and leased by pure-play aircraft and engine leasing companies. Because we have created the infrastructure to market through alternative channels, we are able to maximize financial returns on Flight Equipment by cost-effectively placing such assets in the secondary market for the balance of their operating life, and upon retirement from service, extracting their greatest residual value by disassembling Flight Equipment assets to the piece-part level for re-use as USM. We do this by utilizing our integrated business units to maximize the sum of each asset’s alternative revenue streams, ranging from their sale or lease as whole operating assets, down to utilizing their collective individual components to serve as USM feedstock or to lower our leasing and operating costs related to MRO services. We also offer our integrated Asset Management Solutions services to third-party clients who lack the expertise and/or infrastructure to optimize their Flight Equipment investments. We lease engines and airframes primarily as a means of extracting value from the remaining operating life of an asset prior to disassembly for USM parts. We focus primarily on highly customized aircraft leases or short-term engine leasing where we can demand a lease premium, and we utilize our USM and MRO capabilities to fully meet all maintenance needs, which allow us to fully monetize collected maintenance reserves. After disassembly, we utilize the pieces as low-cost spare parts feedstock to support our various other business segments, including USM part sales, and in conjunction with our third-party maintenance operations. Consequently, the vast majority of aircraft and engines that we have acquired have ultimately been disassembled for their USM parts once the full value of their remaining operating life has been extracted.</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TechOps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TechOps segment, which represented approximately 36% and 32% of our revenue during the fiscal years ended December 31, 2023 and 2022, respectively, provides nose-to-tail MRO services on the most popular commercial aircraft, engines, and components that serve the passenger, cargo, and government sectors. Through our collective U.S.-based MRO facilities, we provide extensive maintenance and modification services for aircraft and their individual components. Our aircraft facilities located in Goodyear, Arizona, Roswell, New Mexico, and Millington, Tennessee collectively feature approximately 760,000 square feet of hangar space, from which we provide high-quality airframe MRO services, structural modification, conversions, and flight system upgrades, including disassembly and re-cycling operations for retiring aircraft. We additionally offer convenient long-term storage capacity for up to 650 aircraft in ideal dry-desert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the individual component level, our facilities located in Miami, Florida, Rio Rancho, New Mexico, and Millington, Tennessee collectively offer specialized component MRO capabilities and services covering hydraulics, composites, pneumatics, fuel systems, electro-mechanical assemblies, interiors, painting, flight controls, nacelles, and landing gear for passenger, cargo, and military aircraft applications.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TechOps segment leverages its robust engineering team to provide highly specialized technical support to our MRO facilities, as well as to develop advanced technical repairs, modifications and products, which we market under the tradename “Engineered Solutions.” This business unit includes the design, manufacture, and installation of new products, systems, and services that can enhance aircraft performance, safety, and service life at lower costs than traditionally expensive OEM products and services. Engineered Solutions also serves to lower the cost of Flight Equipment ownership with savings on MRO-related expenses, including compliance with mandatory and market-driven equipment upgrades. These cost-saving solutions are approved by the Federal Aviation Administration (“FAA”) under Supplemental Type Certificates (“STCs”), which provide us with the unique ability to perform these modifications. We use our FAA-approved Parts Manufacturing Authority (“PMA”) to integrate third party components in developing our STC solutions. We have also obtained approval from various foreign regulatory authorities to validate our STCs and PMA products for use by operators outside of the United States.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One example of our Engineered Solutions is our AerSafe® product line. We designed and received FAA approval to market AerSafe® as a solution for compliance with an FAA mandate to mitigate aircraft fuel tank flammability on Boeing and Airbus aircraft. AerSafe® has also been approved for installation on certain aircraft models that are regulated by the European Aviation Safety Agency (“EASA”) and the National Civil Aviation Agency of Brazil. Another example of our Engineered Solutions is our AerAware™ product, an industry-leading, next generation Enhanced Flight Vision System (“EFVS”) that has recently received approval by the FAA for the Boeing B737NG product line.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aviation aftermarket is highly competitive with many participants, including Flight Equipment OEMs, MRO providers, airlines, aircraft and engine leasing companies, financial sponsors, USM sales organizations, and other independent manufacturers and service providers. The vast majority of participants compete within smaller subsets of our broader products and services offerings. Frequently, our competitors specialize in one or a limited number of areas within the following segments: aircraft MRO, engine MRO, Engineered Solutions, aircraft leasing, engine leasing, USM part sales, and asset management. Further, many component MRO providers specialize in a small subset of repairs related to specific components or materials, such as composites, pneumatics, hydraulics, electronics, landing gear, wheels and brakes, and auxiliary power units.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Consumers of aftermarket Flight Equipment products and services typically make buying decisions based on a variety of factors including quality, pricing, availability, provider reputation, technical specification, prior operating history, turnaround time, geographic location and financial terms.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Asset Management Solutions segment competitors include AAR Corp., AerCap, Delta Air Lines, Inc., GA Telesis, LLC, Kellstrom Aerospace, Heico Corporation, Willis Lease Finance Corp, Air Transport Services Group, LLC, Unical Aviation, Inc, Satair Group and Aviall, Inc, while competitors to our TechOps segment include AAR Corp., Aviation Technical Services, Inc., HAECO Americas, MRO Holdings, Inc., ST Engineering North America, Air Transport Services Group, LLC, Delta TechOps, TransDigm Group, MTU Aero Engines, Woodward, Inc., and Lufthansa Technik AG. Though our product and service offerings include certain aircraft and engine leasing activities, we do not view large pure-play aircraft and engine leasing companies as core competitors, as those companies are primarily centered around cost of capital and financial securitization products, and frequently choose to divest mid-life assets as they lack the technical and mechanical capabilities to deal with assets that have exited the OEM warranty periods.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Certain of our competitors have substantially greater marketing, financial, technical and infrastructure resources than we do, and may additionally provide complementary sales and services capabilities that we do not currently offer. As a result, certain of our competitors may be able to deliver a broader range of aftermarket Flight Equipment products and services at more attractive pricing. As such, we choose to target services and products where our synergic capabilities provide us a competitive advantage and allow us to be more responsive to the evolving needs of mid-life aircraft owners,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operators, MRO providers and financial sponsors. We believe that the market insights, technical capabilities and financial expertise that we bring together through our Asset Management Solutions and TechOps offerings are particularly well suited to meet the comprehensive needs of mid-life Flight Equipment customers, with a fuller range of value-added products and services than most of our competitors.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competitive strengths are focused on institutionalized processes to drive profitability by maximizing Flight Equipment values across the second half of their life cycle. We believe our data-driven approach, highly attuned staff, proprietary analytical tools, and formalized decision-making processes give us a unique platform to drive value within the aviation aftermarket.</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ability to provide cost saving alternatives to support our customers across the entire range of Flight Equipment, from the whole aircraft down to the individual component parts level, is crucial to our ability to maximize value and profitability. By offering a comprehensive suite of products and services, we are able to enjoy a competitive edge in the marketplace as a “one-stop” source for full aircraft, engine and USM spare parts support, bundled with comprehensive MRO solutions. This integration of services facilitates significant cross-selling opportunities among our various business units, as many of our customers depend on the products and services provided by both our Asset Management Solutions and TechOps business segments. In totality, the breadth of these capabilities allows us to optimally service our customers’ needs, providing them increased fleet flexibility while reducing downtime. Similarly, these capabilities lower the cost of ownership of our own Flight Equipment. At the same time, our participation in upstream aircraft and engine transactions also provides valuable market insights regarding operating fleet trends that feed our key downstream supply and demand modeling inputs, enhancing our MRO and USM parts investment decisions.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consistent source of aftermarket USM parts, we provide our customers with a safe and widely-accepted low-cost alternative to purchasing new OEM replacement parts. Our ability to cost-efficiently source USM parts through aftermarket Flight Equipment acquisitions and lease portfolio retirements enables us to profitably monetize aircraft and engines that otherwise would have limited economic benefit as an operating whole asset. We are additionally able to leverage our component MRO capabilities to extend the serviceable life of many USM components and systems. Consequently, our ability to increase our USM return to service yield reduces our associated return to service expenses and serves to drive incremental margin on USM part sales, while also lowering the cost of replacement parts required to maintain our portfolio aircraft and engines.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competitive advantage over most of our MRO competitors as one of the select aviation aftermarket companies that has the necessary technical and operational resources to hold FAA “unlimited” repair station ratings for both our airframe and component MRO operations. These comprehensive FAA ratings are no longer granted; however, our unlimited ratings were “grandfathered” and are held by our longstanding MRO subsidiary companies. This enables us to fast track the implementation of certain new MRO capabilities through an established FAA approved “self-certification” procedure, while avoiding the typically longer approval lead-times associated with standard FAA repair station capability certification. Consequently, we believe our ability to efficiently innovate and bring to market new proprietary repairs and modifications for both aircraft and their components meaningfully enhances our responsiveness to the evolving needs of our customers, while also giving us the flexibility to pursue a significantly wider range of market growth opportunities.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Growth Strategies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intend to pursue opportunities that are well aligned with our existing capabilities, which will continue to differentiate our business.</w:t>
      </w:r>
    </w:p>
    <w:p>
      <w:pPr>
        <w:spacing w:after="0" w:line="160" w:lineRule="exact"/>
        <w:rPr>
          <w:sz w:val="20"/>
          <w:szCs w:val="20"/>
          <w:color w:val="auto"/>
        </w:rPr>
      </w:pPr>
    </w:p>
    <w:p>
      <w:pPr>
        <w:jc w:val="both"/>
        <w:ind w:left="1040" w:right="79" w:hanging="315"/>
        <w:spacing w:after="0" w:line="274"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Broaden our MRO Capabilities. </w:t>
      </w:r>
      <w:r>
        <w:rPr>
          <w:rFonts w:ascii="Times New Roman" w:cs="Times New Roman" w:eastAsia="Times New Roman" w:hAnsi="Times New Roman"/>
          <w:sz w:val="18"/>
          <w:szCs w:val="18"/>
          <w:color w:val="auto"/>
        </w:rPr>
        <w:t>We plan to utilize our FAA “unlimited” repair station licenses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capabilities, while augmenting brand loyalty with a growing range of MRO services to support our customers’ needs. The MRO segment is accretive to our Asset Management Solutions business and provides incremental opportunities to supplement our MRO customers with Flight Equipment and USM spare parts once we have established an initial MRO service relationship.</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79" w:hanging="315"/>
        <w:spacing w:after="0" w:line="27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Government Presence. </w:t>
      </w:r>
      <w:r>
        <w:rPr>
          <w:rFonts w:ascii="Times New Roman" w:cs="Times New Roman" w:eastAsia="Times New Roman" w:hAnsi="Times New Roman"/>
          <w:sz w:val="18"/>
          <w:szCs w:val="18"/>
          <w:color w:val="auto"/>
        </w:rPr>
        <w:t>Many of the commercial aircraft and engines for which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have equivalent or derivative aircraft and engine platforms that are used by various branches of the military and civilian government agencies. As government funding is stable and uncorrelated with the commercial aviation cycle, we view this as an important growth market. We intend to increasingly focus on capturing additional USM parts sales in addition to MRO service opportunities, directly with these government customers, or through subcontracting arrangements with government contractors.</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Introduce New Engineered Solutions</w:t>
      </w:r>
      <w:r>
        <w:rPr>
          <w:rFonts w:ascii="Times New Roman" w:cs="Times New Roman" w:eastAsia="Times New Roman" w:hAnsi="Times New Roman"/>
          <w:sz w:val="18"/>
          <w:szCs w:val="18"/>
          <w:color w:val="auto"/>
        </w:rPr>
        <w:t>. Our Engineered Solutions offerings provide a critical value-add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through the introduction of proprietary alternative products, repairs and modifications which we develop to enhance aircraft performance, reliability, safety, regulatory compliance, service life, and cost-of-ownership economics. The breadth of services and capabilities that we provide our extensive customer base promotes our early identification and development of new solutions to address their evolving needs. We plan to continue to invest in new Engineered Solutions that create value for our customers and are accretive to the expansion and profitability of our MRO operations. We believe that we are well positioned to develop and market these solutions given our deep knowledge of maintenance intensive mid-life aircraft, our broad range of engineering and MRO capabilities, and our extended market reach as a global provider of Flight Equipment sales, leasing, MRO and USM parts sales.</w:t>
      </w:r>
    </w:p>
    <w:p>
      <w:pPr>
        <w:spacing w:after="0" w:line="177" w:lineRule="exact"/>
        <w:rPr>
          <w:rFonts w:ascii="Times New Roman" w:cs="Times New Roman" w:eastAsia="Times New Roman" w:hAnsi="Times New Roman"/>
          <w:sz w:val="18"/>
          <w:szCs w:val="18"/>
          <w:color w:val="auto"/>
        </w:rPr>
      </w:pPr>
    </w:p>
    <w:p>
      <w:pPr>
        <w:jc w:val="both"/>
        <w:ind w:left="1040" w:right="79" w:hanging="315"/>
        <w:spacing w:after="0" w:line="27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Geographical Footprint</w:t>
      </w:r>
      <w:r>
        <w:rPr>
          <w:rFonts w:ascii="Times New Roman" w:cs="Times New Roman" w:eastAsia="Times New Roman" w:hAnsi="Times New Roman"/>
          <w:sz w:val="18"/>
          <w:szCs w:val="18"/>
          <w:color w:val="auto"/>
        </w:rPr>
        <w:t>. We believe the growth in the international aviation sector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compelling opportunity to leverage our existing capabilities to serve a broader set of foreign aircraft owners, operators, OEMs and MRO customers. As international fleets continue to grow in size and age in both established and emerging markets, we expect to play an increasing role in supplying Flight Equipment spares, MRO support, and USM parts to burgeoning markets that currently lack a mature infrastructure to meet this demand.</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Strategic Acquisitions</w:t>
      </w:r>
      <w:r>
        <w:rPr>
          <w:rFonts w:ascii="Times New Roman" w:cs="Times New Roman" w:eastAsia="Times New Roman" w:hAnsi="Times New Roman"/>
          <w:sz w:val="18"/>
          <w:szCs w:val="18"/>
          <w:color w:val="auto"/>
        </w:rPr>
        <w:t>. Our business has grown organically and through acquisitions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We have a proven track record of successfully expanding our capabilities through acquisitions, including our acquisition of Great Southwest Aviation (rebranded as AerSale - Roswell) in 2010, Aero Mechanical Industries (rebranded as AerSale Landing Gear Solutions) in 2015, Goodyear Maintenance Facility in 2017 (rebranded as AerSale – Goodyear), Avborne Accessory Group (rebranded as AerSale Component Solutions) in 2018, Qwest Air Parts in 2019, Q2 Aviation in 2019 and Aircraft Composite Technologies (rebranded as AerSale AeroStructures-Miami) in 2020. We will continue to evaluate opportunities to acquire businesses that meet our financial return profile and execute on these transactions where there is an opportunity to enhance our value proposition by integrating the operations of such businesses into our existing offerings of products and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to more than 1,000 customers worldwide. Non-U.S. customers accounted for approximately 58% of our total revenue for 2023. Our principal customers are comprised of domestic and foreign passenger airlines, cargo operators and governmental agencies. We also sell our products and services to a broad range of companies that provide aftermarket Flight Equipment support services, including OEMs, MRO providers, financial sponsors and leasing companies.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breadth of our MRO capabilities and supporting services create a compelling customer care and value proposition that fosters brand loyalty, and significantly contributes to the recurring nature of our business. In the year ended December 31, 2023, seven of our top ten customers by revenue had been customers for five years or more, and 67% of revenue from our top 100 customers was sales from customers utilizing more than one of our service offerings.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employ a sales force of 36 individuals. We utilize a matrixed marketing approach, where our individual business segments dedicate resources to market directly to their respective customer audience, while our regional sales specialists co-market our combined product and service offerings to clients within their territories. Given the technical nature of our business, business unit-specific technical staff frequently participate in marketing presentations and campaign developments in support of marketing initiatives spanning the sale, lease and MRO of aircraft, engines and their components.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market and sell our products and services through our direct sales force. On occasion, we utilize contract services to assist in specific client-targeted sales efforts. In addition, we utilize foreign representation in certain regional markets outside of the United States. We augment our direct customer marketing efforts with industry event sponsorships, conference participation, press release broadcast, web site promotion and social media initiatives, in addition to trade publication announcements, advertising and periodical article contributions.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embrace a customer centric approach to supporting our clients with new value-add products and services designed to enhance Flight Equipment performance, lower the cost of maintenance, improve reliability and extend service life, while reducing the associated cost-of-ownership. Key initiatives to support our customers’ reduced cost of ownership include reduced down-time, lower cost USM alternatives, Flight Equipment lease versus own options, innovative aircraft modification and upgrade services, and propriety component repair regimes.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our customers utilize our entire range of services, from whole aircraft MRO through individual component MRO, we frequently receive valuable insights as to evolving customer needs and desires. These inputs are regularly provided to our senior managers and technical personnel to identify and quantify opportunities for developing new products and services. Where the business case warrants, our engineers and technicians are tasked to develop, test and introduce new Engineered Solutions, including proprietary repairs not identified in existing repair manuals, and STCs for new products designed to provide value to our customers.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bring new Engineered Solutions to market is made possible through our in-depth knowledge of the requirements promulgated by respective airworthiness regulatory agencies like the FAA, in addition to non-mandatory recommendations issued by OEMs. The engineering and regulatory authority certification process varies widely by product application and region, and we look to contract with third-party manufacturers and/or channel partners on an as-needed basis to assist in obtaining certain regulatory agency approvals.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“unlimited” airframe and component FAA repair station certifications, PMA authority, and deep technical expertise position us to efficiently identify and implement new Engineered Solutions and proprietary component repairs, which is an important differentiator for our industry.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FAA regulates the manufacture, repair and operation of all aircraft, including engines, components and parts, operated in the United States, to ensure that all aircraft and aviation equipment are continuously maintained in proper condition for safe operation. Similar rules and regulatory authorities exist in other countries. The inspection, maintenance and repair procedures for the various types of aircraft and equipment are prescribed by these regulatory authorities and can be performed only by certified repair facilities utilizing certified technicians. Certification and conformance are required prior to installation of Flight Equipment components, including aircraft released into operating service. We operate six FAA/EASA certified repair stations, in addition to holding various other international airworthiness authority approvals, which are repair station facility specific. Our repair station facilities are required by the FAA to hold pertinent certification approvals for the products and MRO services that we provide for our customers, and we are required to adhere to all relevant FAA rules and regulations as a condition to maintaining those certifications.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Certain of our Engineered Solutions include products that are authorized by the FAA through issuance of STC approval for their respective application. Others involve proprietary repairs that we develop internally in compliance with authorities granted by the FAA under our “unlimited” repair station licensing for applicable airframe and engine component categories. We facilitate the production of certain of our Engineered Solutions through the manufacture of new parts in accordance with our FAA approved PMA certifications, as well as the manufacture of certain new replacement parts under our FAA repair station authorities. We also employ FAA certified personnel called “Designated Airworthiness Representatives” and “Designated Engineering Representatives” to facilitate our MRO operations through the development and regulatory approval of specialized airframe and component designs, repairs, modifications, and installations. We rely on these FAA approvals to market our Engineered Solutions to third parties, as well as to utilize them on our own Flight Equipment. We believe the depth of technical and operational qualifications required to attain these FAA regulatory approvals constitutes a significant barrier for competitors looking to compete with our Engineered Solutions offerings. One such product that was recently issued an STC is our offering designated as AerAware™. AerAware™ is a groundbreaking advanced EFVS solution that enables a pilot to “see” through low visibility conditions by presenting advanced imaging technology along with real time aircraft primary flight systems data on an Elbit Systems/Universal Avionics SkyLens™ Head Wearable Display. This achievement marks the world’s first commercial EFVS system to achieve a 50% visual advantage and the first large transport aircraft to be certified with a complete dual-pilot EFVS solution featuring a Head-Wearable Display.</w:t>
      </w:r>
    </w:p>
    <w:p>
      <w:pPr>
        <w:spacing w:after="0" w:line="19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FAA requires that aircraft operators maintain detailed records that log the utilization and condition of certain aircraft and engine life-limited parts. The FAA also requires that various maintenance routines be performed and documented on certain airframe and engine components at regular intervals based on utilization and/or time. Maintenance may also be required following certain types of events (e.g., foreign object damage, extreme heat, hard landings, etc.). Further, the FAA and certain other airworthiness authorities can at any time introduce new rules and regulations that may impact our business. In order to proactively mitigate the effects of prospective future rulings and amendments, as well as to position our business segments to potentially benefit from them, we diligently monitor FAA publications and industry trade groups in an effort to obtain as much advance notice as possible concerning future regulatory mandates.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we pursue sales of products and services directly to government customers or through subcontracting arrangements with government contractors, we may also be subject to various laws and regulations governing pricing, reporting, and other factors. Historically, government regulations have had no material adverse effect on our business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our brand recognition is an important differentiator, and we maintain trademarks on “AerSale”, and on certain branded product offerings (e.g., AerSale® active into 2031, AerSafe® active into 2031, AerTrak® active into 2028, and AerAware™).</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we hold no patents, we significantly benefit from an extensive array of proprietary intellectual property pertaining to market intelligence, transactional data history, and price modeling techniques, in addition to a wide range of product design, engineering, manufacturing, repair, modification and MRO procedures.</w:t>
      </w:r>
    </w:p>
    <w:p>
      <w:pPr>
        <w:spacing w:after="0" w:line="176" w:lineRule="exact"/>
        <w:rPr>
          <w:sz w:val="20"/>
          <w:szCs w:val="20"/>
          <w:color w:val="auto"/>
        </w:rPr>
      </w:pPr>
    </w:p>
    <w:p>
      <w:pPr>
        <w:jc w:val="both"/>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Our Engineered Solutions are trade secrets comprised of internally developed proprietary products and repair regimes. As such, our Engineered Solutions are exclusively available through our business or third parties that we authorize. While our competitors may be able to develop similar alternatives to our Engineered Solutions offerings, we believe that our deep understanding of mid-life aircraft markets and technologies, combined with our ability to expedite the introduction of new Engineered Solutions to the market, uniquely positions us to increase our market share in this sector.</w:t>
      </w:r>
    </w:p>
    <w:p>
      <w:pPr>
        <w:spacing w:after="0" w:line="1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Though our proprietary market intelligence, transactional data history, price modeling techniques, and Engineered Solutions expertise are subject to misappropriation or obsolescence, we believe we have adequately institutionalized systems and procedures to prevent such occurrences. These measures include adoption of continuous improvement methodologies developed to maintain the integrity of our intellectual property holdings, in addition to the innovation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new techniques, products and processes designed to enhance our existing offerings in response to future market developments.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February 7, 2024, we employed 707 employees worldwide, none of whom are subject to a collective bargaining agreement. Approximately 99% of our employees are based in the United States. In addition to our full-time and part-time employees, we also employ approximately 230 contract workers, the majority of whom are located at our airframe maintenance facilities where they provide us with flexible staffing to meet customer demand.</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success is highly dependent upon our ability to maintain a workforce with the skills necessary for our businesses to succeed. We require highly skilled personnel in multiple areas, including engineering, project management, aircraft technicians, information technology, cybersecurity, business development and strategy, and management.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order to attract and retain highly skilled employees, we are committed to ensuring a safe and healthy work environment, offering competitive compensation and comprehensive benefit programs, creating great career opportunities, and building an engaging, inclusive environment where all employees are treated with dignity and respect.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health, safety and awareness programs in each AerSale facility. To maintain and enhance the health and safety of our employees, we promote a culture of continuous improvement and individual accountability. Each AerSale MRO facility has developed an Environmental Policy and Procedures Manual in compliance with applicable federal, state, and local environmental laws and regulations.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use an annual goal setting process to drive injury rate improvements, and our injury rate reduction goal is a performance metric that is reported to all of our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Talent Management and Career Development</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At AerSale, our talent management and career development programs prepare our employees for a rewarding and challenging experience. We want to ensure that each of our employees has the tools they need to succeed in their current role, while preparing them for the next step in their career. Management and leadership curriculums are tailored based on each facility’s unique needs as well as the individuals’ needs. At our MRO facilities, we have established a career readiness program specifically for aspiring aviation mechanics and technicians. This program allows individuals to start in an entry level role and through supervision, training, and mentorship complemented by our Airframe and Powerplant (“A&amp;P”) reimbursement program, become an A&amp;P mechanic or inspector.</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employees are encouraged to take advantage of our tuition reimbursement program to obtain professional and technical certifications or pursue degree programs related to their career track. Our annual talent and performance review allows AerSale’s management team to identify emerging talent in the organization and develop a succession plan. By evaluating our workforce and needs we are able to provide opportunities for growth and professional fulfillment.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a proud Equal Opportunity Employer. For over a decade, we have created employment opportunities in diverse communities. We believe that diversity is key to our success, and we foster a culture of inclusion. By creating an environment where employees feel embraced and appreciated, we believe that our employees will be motivated to excel and contribute to our continued success. We are confident that in leveraging our employee’s differences we can innovate and remain competitive in a dynamic and demanding industry.</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a firm commitment to diversity and inclusion in our recruiting, hiring and promotion practices. Minority and female employees are encouraged to participate in career days, job fairs and programs in the communities in which we do business. As of December 31, 2023, the Company’s employee base includes 24% females and 64% minorities. We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actively engage in recruiting fairs and efforts at various training institutions, especially those that have high minority and diverse enrollment rates. We continue to work with local organizations to identify minorities with an increased focus on veterans who will be transitioning into the civilian workforce. In 2024, we aim to continue to focus on partnering with local schools and supporting diverse students with an anticipated scholarship program that will provide financial assistance, mentorship and internship opportunities with the ultimate goal being full time employment at one of our facilities. In 2023, we conducted an employment survey to assess diversity efforts and measure progress on our commitment to fostering a culture of inclusion and diversity and ensuring employees can reach their potential. Each manager and leader is responsible for upholding these values and supporting the goals under our affirmative action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operations and facilities are subject to numerous stringent federal, state and local environmental laws and regulations by government agencies, including the U.S. Environmental Protection Agency. Among other matters, these regulatory authorities impose requirements that regulate the emission, discharge, generation, management, transportation and disposal of hazardous materials, pollutants and contaminants, govern public and private response actions to hazardous or regulated substances which may be or have been released to the environment, and require us to obtain and maintain licenses and permits in connection with our operations. This extensive regulatory framework imposes significant compliance burdens and risks on us. Although management believes that our operations and our facilities are in material compliance with such laws and regulations, future changes in these laws, regulations or interpretations thereof, the nature of our operations, or regulatory enforcement actions may require us to make significant additional capital expenditures to ensure ongoing compliance with applicable laws and regulations and/or engage in remedial actions.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of our facilities, including facilities acquired and operated by us or one of our subsidiaries, have at one time or another been under active investigation for environmental contamination by federal or state agencies. We are generally indemnified by prior owners or operators and/or present owners of the facilities for liabilities which we incur as a result of these investigations and the environmental contamination found which pre-dates our acquisition of these facilities, subject to certain limitations. For our Goodyear, Arizona facility, we also maintain an environmental impairment liability policy that provides coverage for certain liabilities associated with the clean-up of on-site and off-site pollution conditions, as well as for resulting bodily injury or property damage to third parties, in each case, to the extent not otherwise indemnified. If we are required to pay the expenses related to environmental liabilities because neither indemnification nor insurance coverage is available, these expenses could have an adverse effect on our business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information about us and our subsidiaries contained in this Annual Report, information about us can be found on our website at www.aersale.com. We have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at https://ir.aersale.com/corporate-governance/governance-documents. In addition, we intend to post on our website all disclosures that are required by law or Nasdaq Stock Market rules concerning any amendments to, or waivers from, any provision of our Code of Business Conduct and Ethics within four business days of such amendment or waiver. Our website and information included in or linked to our website are not part of this Annual Report.</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 (the “SEC”). Additionally, the public may obtain any document that we file with or furnish to the SEC from the SEC’s Electronic Document Gathering, Analysis, and Retrieval system, which can be accessed at www.sec.gov.</w:t>
      </w:r>
    </w:p>
    <w:p>
      <w:pPr>
        <w:spacing w:after="0" w:line="183"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an investment in our common stock. Our business, financial condition, results of</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operations, or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AerSale’s Business and Industry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disruptions could have adverse effects on our ability to provide certain services.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source parts and components for our business from various suppliers around the world. Global supply chain and labor markets are continuing to experience high levels of disruption, causing significant materials and parts shortages, as well as delivery delays, labor shortages, distribution issues, energy cost increases and price increases. Current geopolitical conditions, including sanctions and other trade restrictive actions and strained intercountry relations, are contributing to these issues. These issues could lead to significant supplier performance failures and delays. Disruptions to our supply chain and business operations, or to our suppliers’ supply chains and business operations, could have adverse effects on our ability to provide aftermarket support and services to our customers.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factors that adversely impact the commercial aviation industry.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provider of products and services to the commercial aviation industry, we are generally affected by overall economic conditions of that industry. The commercial aviation industry is historically cyclical and has been negatively affected in the past by geopolitical events, such as ongoing conflicts (including between Russia and Ukraine and between Israel and Hamas), terrorism, high fuel and oil prices, labor issues, lack of capital, and weak economic conditions. As a result of these and other events, from time to time certain of our customers have filed for bankruptcy protection or ceased operation. The impact of instability in the global financial markets has led, and may in the future lead, airlines to reduce domestic or international capacity. In addition, certain of our airline customers have in the past been impacted by tight credit markets, which limited their ability to buy parts, services, and Flight Equipment.</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reduction in flight activity of aircraft both in the United States and abroad has resulted in, and may continue to result in, reduced demand for parts support and maintenance activities for the type of aircraft affected. Further, tight credit conditions negatively impact the amount of liquidity available to buy parts, services, and Flight Equipment. A deteriorating airline environment may also result in additional airline bankruptcies, and in such circumstances, we may not be able to fully collect outstanding accounts receivable. Reduced demand from customers caused by weak economic conditions, including tight credit conditions and customer bankruptcies, may adversely impact our financial condition or results of operations. A slowdown in the global economy, or a recession, would negatively impact the commercial aviation industry, and may have a material adverse effect on our business, financial condition, liquidity and results of operations.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ability to profitably manage mid-life Flight Equipment through the end of its life-cycles depends in part on our ability to successfully source acquisition opportunities of used Flight Equipment on favorable terms to provide feedstock for the sale of USM parts. Our inability to acquire Flight Equipment could adversely affect our financial condition or results of operations. Our business, financial condition, results of operations, and growth rates may be adversely affected by these and other events that impact the aviation industry, including those mentioned elsewhere in this report and the following:</w:t>
      </w:r>
    </w:p>
    <w:p>
      <w:pPr>
        <w:spacing w:after="0" w:line="187" w:lineRule="exact"/>
        <w:rPr>
          <w:sz w:val="20"/>
          <w:szCs w:val="20"/>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in-house maintenance by airlines;</w:t>
      </w:r>
    </w:p>
    <w:p>
      <w:pPr>
        <w:spacing w:after="0" w:line="225"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environmental catastrophes and government regulations implemented to address them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vary, and comparisons to results for preceding periods may not be meaningful. Due to a number of factors, our operating results may fluctuate, including, among others, for the following reasons:</w:t>
      </w:r>
    </w:p>
    <w:p>
      <w:pPr>
        <w:spacing w:after="0" w:line="162"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number of purchases and sales of Flight Equipment;</w:t>
      </w:r>
    </w:p>
    <w:p>
      <w:pPr>
        <w:spacing w:after="0" w:line="225"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maintenance reserve revenues recorded resulting from the termination of long term leases, for which significant amounts of maintenance reserves may have accumulated;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announced termination of production, of particular types of Flight Equipment;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or announced retirement of particular aircraft models by aircraft operators;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travel;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history of any particular engine, aircraft or engine or aircraft model;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necessary overhauls of Flight Equipment.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risks may reduce our Flight Equipment utilization rates, lease margins, maintenance reserve revenues and proceeds from Flight Equipment sales, and may result in higher legal, technical, maintenance, storage, insurance and other costs related to repossession and Flight Equipment being off-lease. As a result of the foregoing and other factors, the availability of Flight Equipment for lease or sale periodically experiences cycles of oversupply and undersupply of given engine or aircraft models. The incidence of an oversupply of Flight Equipment may produce substantial decreases in lease rates and appraised or resale values of aviation equipment and may increase the time spent and costs incurred to lease or sell Flight Equipment. We anticipate that fluctuations from period to period will continue in the future. As a result, we believe that comparisons to results for preceding periods may not be meaningful, and that results of prior periods should not be relied upon as an indication of our future performance.</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values for our aviation products fluctuate, and we may be unable to recover our costs incurred with respect to engines, rotable components and other aircraft parts.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make a number of assumptions when determining the recoverability of rotable components, engines, and other assets which are on lease, available for lease, or supporting our long-term programs. These assumptions include historical sales trends, current and expected usage trends, replacement values, current and expected lease rates, maintenance expenses, residual values, future demand, and future cash flows. Reductions in demand for these assets or declining market values, as well as differences between actual results and the assumptions we utilize in determining the recoverability of our Flight Equipment, could result in impairment charges in future periods, which may have a material adverse effect on our business, financial condition, liquidity and results of operations.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value of any given aircraft model, or any engine model applicable thereto, can vary significantly based on supply in the marketplace. Certain types of Flight Equipment may be used in significant numbers by commercial aircraft operators that experience financial difficulties from time to time. If such operators were to go into liquidation or similar proceedings, the resulting over-supply of Flight Equipment from these operators could have an adverse effect on the demand for the affected engine and aircraft types and the values of such Flight Equipment, which may adversely impact our financial condition or results of operations.</w:t>
      </w:r>
    </w:p>
    <w:p>
      <w:pPr>
        <w:spacing w:after="0" w:line="183"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repossess Flight Equipment when a lessee defaults, and even if we are able to repossess the Flight Equipment from a defaulting lessee, we may have to expend significant resources in the repossession of such Flight Equipment and the subsequent remarketing and re-leasing of the repossessed Flight Equipment.</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When a lessee defaults on its obligations under a lease and does not cure such default in a timely manner, we typically seek to terminate the applicable lease and repossess the leased Flight Equipment. If a defaulting lessee contests the termination and repossession or is under court protection, enforcement of our rights under the lease may be difficult,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expensive and time-consuming. In the event the Flight Equipment is located outside of the United States, we may need to obtain governmental consents to export the Flight Equipment back to the United States. As a result, the relevant asset may be off-lease and not generating revenue for a prolonged period. In addition, we will incur direct costs associated with repossessing our Flight Equipment, which may include legal and similar costs, costs of transporting, storing and insuring the Flight Equipment, and costs associated with necessary maintenance and recordkeeping to make the Flight Equipment available for re-lease or sale. During this time, we will not realize revenue from the Flight Equipment being repossessed and will continue to be obligated to pay any debt financing related to the Flight Equipment. If an engine is installed on an airframe, the airframe may be owned by an aircraft lessor or other third party. Our ability to recover engines installed on airframes owned by third-parties may depend on the cooperation of the airframe owner.</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when a lessee of our Flight Equipment has protection under the U.S. Bankruptcy Code, creditors (including us) are automatically stayed from enforcing their rights. In the case of U.S.-certificated airlines, Section 1110 of the Bankruptcy Code provides certain relief to lessors of aircraft equipment. Section 1110 has been the subject of significant litigation, and we can give no assurance that Section 1110 will protect our investment in Flight Equipment in the event of a lessee’s bankruptcy. In addition, Section 1110 does not apply to lessees located outside of the United States, and applicable foreign laws may not provide comparable protection to 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Success at our MRO facilities is dependent upon continued outsourcing by the airlines.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currently perform MRO activities at six leased locations. Revenues at these facilities fluctuate based on demand for maintenance which, in turn, is driven by the number of aircraft operating and the extent of outsourcing of maintenance activities by airlines. In addition, certain airlines operate new fleet types and/or newer generation aircraft and we may not have contractual arrangements to service these aircraft, nor technicians trained and certified to perform the required airframe maintenance, repair, and overhaul activities on such aircraft. If either the number of aircraft operating or the level of outsourcing of maintenance activities for the aircraft models for which we are authorized to service declines, we may not be able to execute our operational and financial plans at our MRO facilities, which may adversely impact our financial condition or results of operations.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would be adversely affected by a shortage of skilled personnel or work stoppages.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an educated and highly skilled workforce because of the complex nature of many of our products and services. Our ability to operate successfully and meet our customers’ demands could be jeopardized if we are unable to attract and retain a sufficient number of skilled personnel, including qualified licensed mechanics, to conduct our business, or if we experience a significant or prolonged work stoppage. The increasing competition for highly skilled and talented personnel could result in higher compensation costs, difficulties in maintaining a capable workforce, and leadership succession planning challenges. These and similar events may adversely affect our results of operations and financial condition.</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obtain certain components and raw materials from suppliers could harm our business.</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Our business is affected by the availability and price of the raw materials and component parts that we use to manufacture our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 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raw materials or components could reduce our profits if we are unable to pass such price increases onto our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competitive pressures may adversely affect us.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and we face competition from a number of sources, both domestic and international. Our competitors include aircraft manufacturers, aircraft component and parts manufacturers, airline and aircraft service companies, other companies’ MRO services, other aircraft spare parts distributors and redistributors. Certain of our competitors may have substantially greater financial and other resources than we have, and others may price their products and services below our selling prices. These competitive markets also create pressure on our ability to hire and retain qualified technicians and fill other skilled labor needs. We believe that our ability to compete depends on superior customer service and support, on-time delivery, sufficient inventory availability, competitive pricing, and effective quality assurance programs. These competitive pressures have a potential impact on our business, which may adversely affect our results of operations and financial condition.</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operating internationally.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76"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civil strife, and political risks;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regulations that could erode profit margins or restrict exports;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“FCPA”), the United Kingdom Bribery Act of 2010, and other anti-bribery and anticorruption laws;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and cost of compliance with foreign laws, treaties, and technical standards and changes in those regulations;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 and funding delays;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transfers of funds;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duties and value added taxes;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arising from foreign local business practices and cultural considerations; and</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policies on trade relations and trade policy, including implementation of or changes in trade sanctions (such as those imposed on Russia), tariffs, and embargoes.</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Global conflicts, including the war in the Ukraine and conflict in the Middle East are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and enhanced export controls, as well as any responses from Russia, could adversely affect the Company and/or our supply chain, business partners or customers, flight activity, demand for MRO and leasing services and the related macro environment. The economic and security conditions could also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October 2023, a military conflict commenced between Israel and Hamas. The intensity and duration of Israel’s current war against Hamas is difficult to predict, as are such war’s global economic impact; which could include further sanctions, embargoes, regional instability, energy shortages, geopolitical shifts and adverse effects on macroeconomic conditions, security conditions, currency exchange rates and financial markets, and the impact on the Company’s business and operations and on the businesses and operations of the Company’s suppliers, customers and other third parties with which the Company conducts business. Of note, the Company’s enterprise resource planning vendor and the supplier of most of the components of our EFVS offering designated as AerAware™ are both based in Israel.</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 expose us to risks, including the risk that we may be unable to effectively integrate acquired businesses.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completed multiple acquisitions over the past few years, and have discussions with third parties regarding acquisitions on a regular basis. Acquisitions involve risks, including difficulties integrating operations and personnel, the effects of amortization of any acquired intangible assets and the potential impairment of goodwill, and the potential loss of key employees of the acquired business. In addition, acquisitions often require substantial management resources, and have the potential to divert our attention from our existing business. For any businesses we may acquire in the future, we may not be able to execute our operational, financial, or integration plans for the acquired businesses, which may adversely affect our results of operations and financial condition.</w:t>
      </w:r>
    </w:p>
    <w:p>
      <w:pPr>
        <w:spacing w:after="0" w:line="18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unique business risks as a result of supplying equipment and services to the U.S. government directly and as a subcontractor, which could lead to a reduction in our net sales from, or the profitability of our supply arrangements with, the U.S. government.</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Companies engaged in supplying defense-related equipment and services to U.S. government agencies are subject to business risks specific to the defense industry. We currently do, and may in the future, contract directly with the U.S. government or act as a subcontractor to customers contracting with the U.S. government. Accordingly, the U.S. government may unilaterally suspend or prohibit us from receiving new contracts pending resolution of alleged violations of procurement laws or regulations, revoke required security clearance, reduce the value of existing contracts, or audit our contract related costs and fees.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because we contract directly with the U.S. government or act as a subcontractor to customers contracting with the U.S. government, we may be subject to U.S. government inquiries and investigations, including periodic audits of costs that we determine are reimbursable under government contracts. U.S. government agencies routinely audit government contractors to review performance under contracts, cost structure and compliance with applicable laws, regulations, and standards, as well as the adequacy of and compliance with internal control systems and policies, including the contractor’s purchasing, property, estimating, compensation and management information systems. Any costs found to be misclassified or inaccurately allocated to a specific contract are not reimbursable, and, to the extent already reimbursed, must be refunded. Also, any inadequacies in our systems and policies could result in payments being withheld, penalties and reduced future business, and may adversely affect our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Further consolidation in the aerospace industry could adversely affect our business and financial results.</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security threats or other disruptions.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heavily on information technology and computerized systems to communicate and operate effectively. Our systems and technologies, or those of third parties on which we rely, could fail or become unreliable due to equipment failures, software viruses, cyber threats, ransomware attacks, terrorist acts, natural disasters, power failures or other causes.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Cybersecurity threats are evolving and include, but are not limited to, malicious software, attempts to gain unauthorized access to our sensitive information, business e-mail compromises, ransomware attacks, and other electronic security breaches, including at our customers, suppliers, subcontractors, and joint venture partners, that could lead to disruptions in mission critical systems, unauthorized release of confidential or otherwise protected information, and corruption of data. Certain functional areas of our workforce continue to function in a remote work environment, which could heighten the risk of these potential vulnerabilities.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procedures and controls we utilize to monitor and mitigate these threats may not be sufficient to prevent security threats from materializing. If any of these events were to materialize, the costs related to cyber or other security threats or disruptions may not be fully insured or indemnified, and may adversely affect our results of operations and financial condition or disruption of our ability to make financial reports and other public disclosures required of public companies.</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Moreover, expenditures incurred in implementing and maintaining cybersecurity and other procedures and controls may adversely affect our results of operations and financial condition.</w:t>
      </w:r>
    </w:p>
    <w:p>
      <w:pPr>
        <w:spacing w:after="0" w:line="15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make significant capital expenditures to keep pace with technological developments in our industry.</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industries in which we participate are constantly undergoing development and change, and it is likely that new products, equipment, and MRO methods will be introduced in the future. We may need to make significant expenditures to purchase new equipment, and to train our employees to keep pace with any new technological developments. These expenditures may adversely affect our results of operations and financial condition.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do not own certain intellectual property and tooling that is important to our business.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our MRO business, OEMs of equipment that we maintain for our customers include language in repair manuals relating to their equipment asserting broad claims of proprietary rights to the contents of the manuals used in our operations. Although we believe that our use of manufacture and repair manuals is lawful, there can be no assurance that OEMs will not try to enforce such claims, including through the possible use of legal proceedings, or that any such actions will be unsuccessful.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business also depends on using certain intellectual property and tooling that we have rights to use pursuant to license grants under our contracts with OEM customers. These contracts contain restrictions on our use of the intellectual property and tooling, and may be terminated if we violate certain of these restrictions. Our loss of a contract with an OEM customer and the related license rights to use an OEM’s intellectual property or tooling, may adversely affect our results of operations and financial condition.</w:t>
      </w:r>
    </w:p>
    <w:p>
      <w:pPr>
        <w:spacing w:after="0" w:line="179" w:lineRule="exact"/>
        <w:rPr>
          <w:sz w:val="20"/>
          <w:szCs w:val="20"/>
          <w:color w:val="auto"/>
        </w:rPr>
      </w:pPr>
    </w:p>
    <w:p>
      <w:pPr>
        <w:ind w:left="60" w:right="219" w:firstLine="6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involved in intellectual property litigation, which could have a material and adverse impact on our profitability.</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and other companies in our industry possess certain proprietary rights relating to designs, engineering, manufacturing processes and MRO procedures. In the event that we believe that a third party is infringing upon our proprietary rights, we may bring an action to enforce such rights. In addition, we are from time to time involved in legal proceedings by third parties claiming infringement by us with respect to their proprietary rights. The expense and time of bringing an action to enforce such rights or defending against infringement claims can be significant, which may adversely affect our results of operations and financial condition.</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Intellectual property litigation involves complex legal and factual questions which makes the outcome of any such proceedings subject to considerable uncertainty. Not only can such litigation divert management’s attention, but it can also expose us to damages and potential injunctive relief which, if granted, may preclude us from making, using or selling particular products or technology. Uncertainties resulting from our participation in intellectual property litigation or other proceedings could have a material adverse effect on our ability to compete in the marketplace. There could also be public announcements of the results of hearings, motions or interim proceedings or developments that could be perceived negatively by analysts or investors and the value of such intellectual property could be diminished. Accordingly, the market price of our common stock may decline. Uncertainties resulting from the initiation and continuation of intellectual property litigation or other proceedings could have a material adverse effect on our business, financial condition and results of operation.</w:t>
      </w:r>
    </w:p>
    <w:p>
      <w:pPr>
        <w:spacing w:after="0" w:line="190"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our facilities, which are subject to physical and other risks that could disrupt production.</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facilities or our customers’ facilities could be damaged or disrupted by a natural disaster, war, or terrorist activity. A major catastrophe, such as an earthquake, hurricane, fire, flood, tornado, pandemic, or other natural disaster at any of our sites, or war or terrorist activities in any of the areas where we conduct operations, could result in a prolonged interruption of our business. Any disruption resulting from these events could cause significant delays in shipments of products, and the loss of sales and customers, and we may not have insurance to adequately compensate us for any of these events. For leased facilities, timely renewal of leases, and risk mitigation from the sale of our leased facilities, is required to avoid any business interruption.</w:t>
      </w:r>
    </w:p>
    <w:p>
      <w:pPr>
        <w:spacing w:after="0" w:line="18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position, results of operations and/or cash flows may be impacted by the improper conduct of employees, agents, subcontractors, suppliers, business partners or joint ventures in which we participate.</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products and services, cost accounting and billing, competition and data privacy. However, we cannot ensure that such controls will prevent all such misconduct committed by our employees, agents, subcontractors, suppliers, business partners or others working on our behalf or with us, and this risk of improper conduct may increase as we expand globally. In the future, we may form and/or become a member of joint ventures. We may be unable to prevent misconduct or other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monetary and non-monetary penalties, including suspension and debarment, which may adversely affect our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might suffer if we were to lose the services of certain key employees.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operations depend upon our key employees, including our executive officers. Because our key employees have knowledge of our industry and customers, and would be difficult to replace, loss of any of these employees may adversely affect our results of operations and financial condition.</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subcontractors or suppliers fail to perform their contractual obligations, our contract profitability and our ability to win new contracts may be adversely affected.</w:t>
      </w:r>
    </w:p>
    <w:p>
      <w:pPr>
        <w:spacing w:after="0" w:line="15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We rely on subcontractors to perform a portion of the services we agree to provide our customers, and our suppliers provide necessary labor, inventory and component parts. A failure by one or more of our subcontractors or suppliers to satisfactorily provide on a timely basis the agreed-upon services or supplies may affect our ability to perform our contractual obligations. Deficiencies in the performance of our subcontractors and/or suppliers could result in liquidated damages or our customer terminating our contract for default. A termination for default could expose us to liability and adversely affect our financial performance and our ability to win new contract awards.</w:t>
      </w:r>
    </w:p>
    <w:p>
      <w:pPr>
        <w:spacing w:after="0" w:line="183"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outbreaks and infectious diseases could have a material adverse impact, on our business, operating results, financial condition, and liquidity.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the overall demand for commercial air travel has significantly recovered from the effects of the COVID-19 pandemic, future outbreaks and infectious diseases could pose a threat to the commercial aviation industry, including our business and operations. Moreover, a resurgence of the COVID-19 pandemic (including through any new variant strains of the underlying virus), a new health epidemic or similar outbreak or other negative developments associated with the pandemic or outbreak could hinder or reverse the commercial flight activity recovery and lead to decreased worldwide commercial activity, which could lead to a reduced demand for airline passenger and cargo services. Reduced flight activity negatively impacts the demand for many of our products and services, and any prolonged reduction could materially and adversely affect our business, operating results, financial condition, and access to sources of liquidity.</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Moreover, prolonged pandemics, epidemics and similar outbreaks, or the threat thereof, could result in worker absences, lower productivity, voluntary closure of our offices and facilities, travel restrictions for our employees and other disruptions to our business. Any of these could have a material adverse effect on our business, financial condition or results of operations.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impact that any pandemics, epidemics and similar outbreaks, especially of infectious diseases, will have on our customers, suppliers, vendors, and other business partners, and each of their financial conditions; however, any material effect on these parties could adversely impact us, and may also exacerbate other risks discussed in this “Risk Factors” section, any of which could have a material effect on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and Financial Risks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continued availability of financing to manage our business and to execute our business strategy, and additional financing may not be available on terms acceptable to us.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ability to manage our business and to execute our business strategy is dependent, in part, on the continued availability of debt and equity capital. Our Amended and Restated Credit Agreement (as amended, the “Revolving Credit Agreement”) matures on July 24, 2028. Access to the debt and equity capital markets may be limited by various factors, including the condition of overall credit markets, general economic factors, state of the aviation industry, our financial performance, and credit ratings. Debt and equity capital may not continue to be available to us on favorable terms, or at all. Our inability to obtain financing on favorable terms may adversely affect our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existing debt includes restrictive and financial covenants.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Certain current financing arrangements require us to comply with various restrictive covenants, and in certain cases contain financial covenants that require us to comply with specified financial ratios and tests. Our failure to meet these covenants could result in default under these loan and debt agreements, and may result in a cross-default under other debt agreements. In the event of a default and our inability to obtain a waiver of the default, all amounts outstanding under our debt agreements could be declared immediately due and payable.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failure to comply with these covenants may adversely affect our results of operations and financial condition.</w:t>
      </w:r>
    </w:p>
    <w:p>
      <w:pPr>
        <w:spacing w:after="0" w:line="221"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Restrictive covenants in the documents governing our existing and any future indebtedness may limit our current and future operations, particularly our ability to respond to changes in our business or to pursue our business strategies.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0" w:lineRule="exact"/>
        <w:rPr>
          <w:sz w:val="20"/>
          <w:szCs w:val="20"/>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or investments;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distributions from restricted subsidiaries;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capital stock of restricted subsidiaries;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sell substantially all of our assets;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acquire certain assets.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restrictions could adversely affect our ability to:</w:t>
      </w:r>
    </w:p>
    <w:p>
      <w:pPr>
        <w:spacing w:after="0" w:line="225" w:lineRule="exact"/>
        <w:rPr>
          <w:sz w:val="20"/>
          <w:szCs w:val="20"/>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alliances;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or the economy in general;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 or exposure to additional income tax liabilities could affect our profitability.</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of operations could be adversely affected by impairment of our goodwill or other intangible assets.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When we acquire a business, we record goodwill equal to the excess of the amount we pay for the business, including liabilities assumed, over the fair value of the tangible and identifiable intangible assets of the business we acquire. Goodwill and other intangible assets that have indefinite useful lives must be evaluated for impairment at least annually, or when events or changes in circumstances indicate that the carrying amount of such assets may not be recoverable. The specific guidance for testing goodwill and other non-amortized intangible assets for impairment requires management to make certain estimates and assumptions when allocating goodwill to reporting units and determining the fair value of reporting unit net assets and liabilities, including, among other things, an assessment of market conditions, projected cash flows, investment rates, cost of capital and growth rates, which could significantly impact the reported value of goodwill and other intangible assets. Changes in our estimates and assumptions could adversely impact projected cash flows and the fair value of reporting units. Fair value is generally determined using a combination of the discounted cash flow, market multiple and market capitalization valuation approaches. Absent any impairment indicators, we generally perform our evaluations annually using available forecast information. If at any time we determine an impairment has occurred, we are required to reflect the reduction in value as an expense within operating income, resulting in a reduction of earnings and a corresponding reduction in our net asset value in the period such impairment is identified. As part of management's annual evaluation, the qualitative and quantitative analyses resulted in a conclusion that the fair value of our reporting units exceeded their carrying values; therefore, goodwill and other indefinite lived intangibles were not impaired. In the event there are deteriorations in business conditions or estimated cash flows beyond amounts previously or currently forecasted, there is a risk of future impairments on our goodwill balance.</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exposure to variable interest rates, foreign currency exchange rates and swap counter party credit risk could materially and adversely affect our business, operating results and financial condition.</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various types of market risk in the normal course of business, including the impact of interest rate changes and foreign currency exchange rate fluctuations. Some of our indebtedness bears interest at variable rates, generally linked to market benchmarks such as the Secured Overnight Financing Rate (“SOFR”). Any increase in interest rates would increase our finance expenses relating to our variable rate indebtedness and increase the costs of refinancing our existing indebtedness and issuing new debt. Previously, our Revolving Credit Agreement bore interest at London Interbank Overnight (“LIBOR”) rates. The U.K.’s Financial Conduct Authority, which regulated LIBOR, ended publication of the one-week and two-month USD LIBOR tenors on December 31, 2021, and ended publication of the remaining USD LIBOR tenors on June 30, 2023. Effective March 9, 2023, we amended our Revolving Credit Agreement to replace the benchmark rate from LIBOR to SOFR. Although SOFR has been endorsed by the Alternative Reference Rates Committee, a committee convened by the United States Federal Reserve that includes major market participants, has identified the SOFR, an index calculated by short-term repurchase agreements, backed by Treasury securities, as its preferred alternative rate for LIBOR, it remains uncertain how markets will respond to SOFR or other alternative reference rates following the transition away from the LIBOR benchmarks. The consequences of these developments cannot be entirely predicted and could cause potential increases in interest rates on our floating debt rate. These uncertainties or their resolution also could negatively impact our funding costs, loan and other asset values, asset-liability management strategies and other aspects of our business and financial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government regulation and may need to incur significant expenses to comply with new or more stringent governmental regulation.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aviation industry is highly regulated in the United States by the FAA and equivalent regulatory agencies in other countries. Prior to being placed into service the products and services that we provide for aircraft, engines and their components are required to meet certain standards of airworthiness established by the FAA or the equivalent regulatory agencies in certain other countries. We also operate repair stations that are licensed by the FAA and equivalent regulatory agencies in certain other countries. Specific regulations vary from country to country; although regulatory requirements in other countries are generally satisfied by compliance with FAA requirements. New and more stringent governmental regulations may be adopted in the future that, if enacted, may adversely impact our financial condition or results of operations.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revocation or suspension of our material licenses, certificates, authorizations, or approvals by the FAA or equivalent regulatory agencies in other countries, may adversely impact our financial condition or results of operations.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Users of Flight Equipment are regulated by general civil aviation authorities, including the FAA in the United States and similar governmental authorities in other countries, which regulate the maintenance of engines and issue airworthiness directives. Airworthiness directives typically set forth special maintenance actions or modifications with respect to certain engine and aircraft types or series of specific engines that must be implemented for the engine or aircraft to remain in service. Also, airworthiness directives may require the lessee to make more frequent inspections of an engine, aircraft or particular engine parts. Generally, the lessee of our Flight Equipment is responsible for complying with all airworthiness directives. However, if the Flight Equipment is off-lease and in certain circumstances, if dictated by the terms of a Flight Equipment lease, we may be forced to bear the cost of compliance with such airworthiness directives.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number of our leases require specific governmental or regulatory licenses, consents or approvals. These include consents for certain payments under the leases and for the export, import or re-export of our Flight Equipment. Consents needed in connection with future leasing or sale of our Flight Equipment may not be received timely or have economically feasible terms. Any of these events could adversely affect our ability to lease or sell Flight Equipment, which, in turn, may adversely impact our financial condition or results of operations.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U.S. Department of Commerce (the “Commerce Department”) regulates exports of goods outside the United States. We are subject to the Commerce Department’s and the U.S. Department of State’s regulations with respect to the lease and sale of aircraft, engines, engine parts and components, and airframes and accessory parts and components to foreign entities. The Commerce Department and the U.S. Department of State may, in certain cases, require us to obtain export licenses for certain items exported to foreign countries. The U.S. Department of Homeland Security, through the U.S. Customs and Border Protection, enforces regulations related to the import of aircraft, engines, engine parts and components, and airframe and accessory parts and components into the United States. We must expend resources to comply with these regulations and our failure to comply with these regulations may subject us to regulatory actions, which may adversely impact our financial condition or results of operations.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prohibited from doing business with persons designated by the U.S. Department of the Treasury’s Office of Foreign Assets Control (“OFAC”) on its “Specially Designated Nationals List,” and must monitor our operations and existing and potential lessees and other counterparties for compliance with OFAC’s rules. Similarly, sanctions issued by the United Nations, the United States government, the European Union or other governments could prohibit or restrict us from doing business in certain countries, or with certain customers or persons, and we must monitor our operations and existing and potential customers and other counterparties for compliance with such sanctions. We must expend resources to comply with these regulations and our failure to comply with these regulations may subject us to regulatory actions, which may adversely impact our financial condition or results of operations.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a variety of other regulations including work-related and community safety laws. The Occupational Safety and Health Act of 1970 mandates general requirements for safe workplaces for all employees, and established the Occupational Safety and Health Administration (“OSHA”) in the Department of Labor. In particular,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OSHA provides special procedures and measures for the handling of certain hazardous and toxic substances. In addition, specific safety standards have been promulgated for workplaces engaged in the treatment, disposal or storage of hazardous waste. Requirements under state law, in certain circumstances, may mandate additional measures for facilities handling materials specified as extremely dangerous. We believe that our operations are in material compliance with OSHA’s health and safety requirements.</w:t>
      </w:r>
    </w:p>
    <w:p>
      <w:pPr>
        <w:spacing w:after="0" w:line="179"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FCPA and other anti-corruption laws, as well as export control laws, import and customs laws, trade and economic sanctions laws and other laws governing our operations.</w:t>
      </w:r>
    </w:p>
    <w:p>
      <w:pPr>
        <w:spacing w:after="0" w:line="15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are subject to the FCPA and other anti-corruption laws, as well as export control laws, import and customs laws, trade and economic sanctions laws and other laws governing our operations. Our operations are subject to anti-corruption laws including the FCPA, the U.S. domestic bribery statute contained in 18 U.S.C. §201, the United Kingdom Bribery Act 2010, the U.S. Travel Act, and other anti-corruption laws that apply in countries where we do business.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We and certain of our customers operate in a number of jurisdictions that pose a high risk of potential FCPA violations, and we participate in collaborations and relationships with third parties whose corrupt or illegal activities could potentially subject us to liability under the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other anti-corruption laws or Trade Control laws by the United States or other authorities could also have an adverse impact on our reputation, our business, financial condition and results of operations. Efforts to ensure that our business arrangements with third parties will comply with applicable aviation and aerospace laws and regulations will involve substantial costs. Because of the breadth of these laws and the narrowness of the statutory exceptions and safe harbors available, it is possible that some of our business activities or our business arrangements with third parties could be subject to challenge under one or more of such laws. It is possible that governmental authorities will conclude that our business practices or the business practices of our customers who generate our revenues may not comply with current or future statutes, regulations or case law involving applicable fraud and abuse . If our operations or the operations of our customers who generate our royalties are found to be in violation of any of these laws or any other governmental regulations, we or the customers who generate our revenues may be subject to significant criminal, civil and administrative sanctions, including monetary penalties, damages, fines, disgorgement, and imprisonment. Any action against us for violation of these laws, even if we successfully defend against it, could cause us to incur significant legal expenses and divert our management’s attention from the operation of our business.</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results may be affected by various litigation and regulatory proceedings.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litigation and regulatory proceedings in the normal course of business and could become subject to additional claims in the future. These proceedings have included, and in the future may include, matters involving personnel and employment issues, workers’ compensation, personal and property injury, disputes relating to acquisitions (including contingent consideration), governmental investigations and other proceedings. Some historical and current legal proceedings and future legal proceedings may purport to be brought as class actions on behalf of similarly situated parties including with respect to employment-related matters. We discuss legal proceedings in Note R – Commitments and Contingencies within our consolidated financial statements and related notes included elsewhere in this Annual Report (the “Consolidated Financial Statements”). Some or all of our expenditures to defend, settle or litigate these matters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We cannot be certain of the ultimate outcomes of any such claims, and resolution of these types of matters, against us may result in significant fines, judgments or settlements, which, if uninsured, or if the fines, judgments and settlements exceed insured levels, could have a material adverse effect on our business, financial condition, liquidity or results of operations.</w:t>
      </w:r>
    </w:p>
    <w:p>
      <w:pPr>
        <w:spacing w:after="0" w:line="185"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Liens on our Flight Equipment could exceed the value of such Flight Equipment, which could negatively affect our ability to repossess, lease or sell such Flight Equipment.</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Liens in favor of third parties may be attached to Flight Equipment we own, and in certain cases our engines may also be installed on airframes to which liens in favor of third-parties unrelated to the engines have been attached. These liens may secure substantial sums that may in certain circumstances exceed the value of the particular Flight Equipment to which the liens have attached. In certain jurisdictions, a lien may give the lien holder the right to detain, in limited cases, sell or cause the forfeiture of the Flight Equipment subject to the lien. Liens held by third parties may have priority over our and our creditors’ interest in respective AerSale Flight Equipment, either because the third-party liens have priority under applicable local law, or because our creditors’ security interests are not filed in jurisdictions outside the United States. These liens and lien holders could impair our ability to repossess and re-lease, or sell our Flight Equipment. If our customers do not discharge these liens, we may find it necessary to pay the claims secured by such liens to repossess the Flight Equipment subject to such third-party liens.</w:t>
      </w:r>
    </w:p>
    <w:p>
      <w:pPr>
        <w:spacing w:after="0" w:line="190"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countries, an engine affixed to an aircraft may become an accession to the aircraft and we may not be able to exercise our ownership rights over the engine.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certain jurisdictions, a leased engine affixed to an aircraft may become an accession to the aircraft, such that the ownership rights of the owner of the aircraft supersede the ownership rights of the owner of the engine. If an aircraft is security for the owner’s obligations to a third-party, the security interest in the aircraft may supersede our rights as owner of the engine. This legal principle could limit our ability to repossess a leased engine in the event of a lessee’s bankruptcy or lease default while the aircraft with the engine installed remains in such a jurisdiction. We may suffer a loss if we are not able to repossess engines leased to lessees in these jurisdictions.</w:t>
      </w:r>
    </w:p>
    <w:p>
      <w:pPr>
        <w:spacing w:after="0" w:line="183"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susceptible to product and other liability claims, and claims not adequately covered by insurance may adversely affect our results of operations and financial condition.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business exposes us to possible claims for property damage and bodily injury or death, which may result if an aircraft, engine, engine part or component, airframe part or accessory, or any other aviation product that we have sold, manufactured, or repaired fails, or if Flight Equipment we serviced or leased, or in which our products are installed, has an accident. We carry substantial liability insurance in amounts that we believe are adequate for our risk exposure, and commensurate with industry norms. However, claims may arise in the future, and our insurance coverage may not be adequate to protect us in all circumstances. Additionally, we might not be able to maintain adequate insurance coverage in the future at an acceptable cost. Any liability claim not covered by adequate insurance may adversely affect our results of operations and financial condition.</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extensive environmental requirements, and any exposure to environmental liabilities may adversely affect us.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Compliance with federal, state, and local requirements relating to the discharge and emission of substances into the environment, the disposal of hazardous wastes, the remediation and abatement of contaminants, and other activities affecting the environment, have had and may continue to have an impact on our operations. Certain of our facilities, including facilities acquired and operated by us or one of our subsidiaries, have at one time or another been under active investigation for environmental contamination by federal or state agencies. Under specific environmental laws and regulations, we could be held responsible for all of the costs relating to any contamination at our past or present facilities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at third party waste disposal sites. If we fail to comply with applicable environmental laws and regulations, we could be subject to substantial fines or penalties and to civil and criminal liability. We cannot assess the possible effect of compliance with future environmental requirements, or of future environmental claims for which we may not have adequate indemnification or insurance coverage. If we were required to pay the expenses related to any future environmental claims for which neither indemnification nor insurance coverage were available, these costs and expenses may adversely affect our results of operations and financial condition.</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Future regulatory developments in the United States and abroad concerning environmental issues such as climate change could adversely affect our operations, and increase operating costs. Additionally, through their impact on our customers, such regulations could reduce demand for our products and services. Actions may be taken in the future by the U.S. government, state governments within the United States, foreign governments, or the International Civil Aviation Organization (“ICAO”) to regulate the emission of greenhouse gases by the aviation industry. The precise nature of any such requirements and their applicability to us and our customers are difficult to predict, but the impact to us and the aviation industry, including the potential for increased fuel costs, carbon taxes or fees, or a requirement to purchase carbon credits, may adversely affect our results of operations and financial condition.</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or by legal, regulatory or market responses to such</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Increasing stakeholder environmental, social and governance (“ESG”) expectations, physical and transition risks associated with climate change, and emerging ESG regulation and policy requirements may pose risk to our market outlook, financial outlook, cost of capital and global supply chain, which may impact our ability to achieve long-term business objectives. Changes in environmental and climate change laws or regulations could lead to additional operational restrictions and compliance requirements upon us, our products and/or services, or otherwise could negatively impact our business. The cost to comply with new and potential environmental laws and regulations could be substantial for the Company.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2016, ICAO passed a resolution adopting the Carbon Offsetting and Reduction Scheme for International Aviation (“CORSIA”), which is a global, market-based emissions offset program to encourage carbon-neutral growth beyond 2020. CORSIA is scheduled to be implemented through multiple phases beginning with a pilot which began in 2021 and continued through 2023, followed by a first phase of the program beginning in 2024 and a second phase beginning in 2027. ICAO continues to develop details regarding implementation, but we believe compliance with CORSIA could significantly increase operating costs for us and our customers.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an active, liquid trading market for our common stock may not continue.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market price of our common stock will not decline below its present market price. Additionally, an active trading market for our common stock may not be sustained. If an active and liquid trading market does not continue, our stockholders may have difficulty selling any of our common stock. Among other things, in the absence of a liquid public trading market:</w:t>
      </w:r>
    </w:p>
    <w:p>
      <w:pPr>
        <w:spacing w:after="0" w:line="180" w:lineRule="exact"/>
        <w:rPr>
          <w:sz w:val="20"/>
          <w:szCs w:val="20"/>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liquidate your investment in shares of common stock;</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common stock may experience significant price volatility;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your purchase and sale orders.</w:t>
      </w:r>
    </w:p>
    <w:p>
      <w:pPr>
        <w:spacing w:after="0" w:line="221" w:lineRule="exact"/>
        <w:rPr>
          <w:sz w:val="20"/>
          <w:szCs w:val="20"/>
          <w:color w:val="auto"/>
        </w:rPr>
      </w:pPr>
    </w:p>
    <w:p>
      <w:pPr>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common stock, the price of our common stock could decline.</w:t>
      </w:r>
    </w:p>
    <w:p>
      <w:pPr>
        <w:spacing w:after="0" w:line="15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our analysts do not continue to cover us, or if no additional analysts commence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coverage of us, the trading price of our stock could be negatively affected. Even with analyst coverage, if one or more of the analysts covering our business downgrade their evaluations of our stock, the price of our common stock could decline. If one or more of these analysts cease to cover our common stock, we could lose visibility in the market for our stock, which in turn could cause our common stock price to decline.</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or the perception in the public markets that these sales may occur, may depress our stock price.</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could occur, could adversely affect the price of our common stock and could impair our ability to raise capital through the sale of additional shares. Certain shares of our common stock are freely tradable without restriction under the Securities Act, except for any shares of our common stock that may be held or acquired by our directors, executive officers, and other affiliates, as that term is defined in the Securities Act, which are be restricted securities under the Securities Act. Restricted securities may not be sold in the public market unless the sale is registered under the Securities Act or an exemption from registration is available. Certain of our stockholders and members of our management have rights, subject to certain conditions, to require us to file registration statements covering shares of our common stock or to include shares in registration statements that we may file for ourselves or other stockholders. Any such sales, including sales of a substantial number of shares or the perception in the market that the holders of a large number of shares intend to sell shares, could reduce the market price of our common stock. We may also issue shares of our common stock or securities convertible into our common stock from time to time in connection with financings, acquisitions, investments, or otherwise. Any such issuance could result in ownership dilution to you as a stockholder and cause the trading price of our common stock to decline.</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in the foreseeable future.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dividends on shares of our common stock in the foreseeable future. We intend to retain any future earnings to fund operations, to service debt and other obligations, and to use for other corporate needs. Further, our Revolving Credit Agreement limits our ability to pay cash dividends.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Jumpstart Our Business Startups Act of 2012 (the “JOBS Act”),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(“Section 404”) of the Sarbanes-Oxley Act of 2002 (“SOX”),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earliest of the last day of the fiscal year</w:t>
      </w:r>
    </w:p>
    <w:p>
      <w:pPr>
        <w:spacing w:after="0" w:line="27" w:lineRule="exact"/>
        <w:rPr>
          <w:sz w:val="20"/>
          <w:szCs w:val="20"/>
          <w:color w:val="auto"/>
        </w:rPr>
      </w:pPr>
    </w:p>
    <w:p>
      <w:pPr>
        <w:jc w:val="both"/>
        <w:ind w:left="60" w:right="59" w:hanging="10"/>
        <w:spacing w:after="0" w:line="253" w:lineRule="auto"/>
        <w:tabs>
          <w:tab w:leader="none" w:pos="3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February 11, 2024, the fifth anniversary of us becoming a publicly-traded company, (b) in which we have total annual gross revenue of at least $1.235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in the United States, we are subject to SOX. We have determined our disclosure controls and procedures and our internal control over financial reporting are effective. We can provide no assurance that we will, at all times, in the future be able to report that our internal controls over financial reporting are effective.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Companies that file reports with the SEC, including us, are subject to the requirements of Section 404. Section 404 requires management to establish and maintain a system of internal control over financial reporting. Annual reports on Form 10-K filed under the Exchange Act must contain a report from management assessing the effectiveness of our internal control over financial reporting. Ensuring we have adequate internal financial and accounting controls and procedures in place to produce accurate financial statements on a timely basis is a time-consuming effort that needs to be re-evaluated frequently. Failure on our part to have effective internal financial and accounting controls would cause our financial reporting to be unreliable, could have a material adverse effect on our business, operating results, and financial condition, and could cause the trading price of our common stock to fall.</w:t>
      </w:r>
    </w:p>
    <w:p>
      <w:pPr>
        <w:spacing w:after="0" w:line="188"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customers were to become insolvent or experience substantial financial difficulties, our business, financial condition and results of operations may be adversely affected.</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any of the customers with whom we do business become insolvent or experience substantial financial difficulties, we may be unable to timely collect amounts owed to us by such customers, and we may not be able to sell the inventory we have purchased for such customers, which may adversely affect our results of operations and financial condition.</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liquidity needs could be materially negatively affected by market fluctuations or an economic downturn.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materially negatively affected by economic conditions generally, both in the United States and elsewhere around the world. Concerns over inflation, rising interest rates, energy costs, geopolitical issues, including the conflict between Russia and Ukraine, Israel and Hamas, and tensions in the Middle East and in Western countries, the availability and cost of credit, and the U.S. financial markets have in the past contributed to, and may continue in the future contribute to, increased volatility and diminished expectations for the economy and the markets. Domestic and international equity markets periodically experience heightened volatility and turmoil. These events may have an adverse effect on us. In the event of a market downturn, our results of operations could be adversely affected by those factors in many ways, including making it more difficult for us to raise funds if necessary, and our stock price may decline.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AerSale has developed and implemented a comprehensive cybersecurity risk management program for identifying, assessing, and managing material risks to protect the confidentiality, integrity and availability of critical systems and information relevant to our business. Our program utilizes a risk-based approach and is designed based on various cybersecurity frameworks, such as the National Institute of Standards and Technology (“NIST”), and the Center for Internet Security (“CIS”), and shares common methodologies, reporting channels, and governance processes that apply across all areas of our enterprise risk management, including legal, compliance, operational, and financial risks.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AerSale’s comprehensive cybersecurity risk management program includes, among others:</w:t>
      </w:r>
    </w:p>
    <w:p>
      <w:pPr>
        <w:spacing w:after="0" w:line="225" w:lineRule="exact"/>
        <w:rPr>
          <w:sz w:val="20"/>
          <w:szCs w:val="20"/>
          <w:color w:val="auto"/>
        </w:rPr>
      </w:pPr>
    </w:p>
    <w:p>
      <w:pPr>
        <w:jc w:val="both"/>
        <w:ind w:left="1380" w:right="79" w:hanging="331"/>
        <w:spacing w:after="0" w:line="26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awareness training agenda with topics relating to phishing, spams, viruses, insider threats, suspicious activity and procedures to escalate them, as well as other safety concerns. Certain training programs are employee targeted based on their individual job responsibilities and on the potential risks associated with such roles.</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assessments, including audits and response simulations, to examine cybersecurity vulnerabilities and potential attack vectors to company systems, as well as evaluating the impact of these vulnerabilities in our operational and financial posture.</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 to identify and respond to material cybersecurity risks from third party service providers, and risk mitigation policies to reduce exposure to such risks.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threats or incidents.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use of external subject matter specialists, including assessors, consultants, auditors or other third parties, to provide incident response services and to conduct independent assessments of internal response readiness.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in security practices that include physical, administrative and technical safeguards of systems and hardware.</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not aware of any risks from cybersecurity threats, including any prior cybersecurity incidents, that have materially affected or are reasonably likely to materially affect us, including our business strategy, results of operations or financial condition. Although our processes are designed to help prevent, detect, respond to, and mitigate the impact of such incidents, there is no guarantee that a future cybersecurity incident would not materially affect our business strategy, results of operations or financial condition. See “Risks Related to AerSale’s Business and Industry—Our business could be negatively affected by cyber or other security threats or other disruptions” in “Risk Factors” on page 13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and has delegated the responsibility of cybersecurity and other information technology related risks to the Audit Committee of the Board of Directors, which oversees the implementation and continuous improvement of our comprehensive cybersecurity risk management program and compliance with disclosure requirements. The Audit Committee is provided with information, results of internal and external assessments, and updates on cybersecurity initiatives at Audit Committee meetings from our Chief Information Officer, and is responsible for reporting any findings and recommendations to the Board of Directors for consideration. Our team of cybersecurity professionals is led by our Chief Information Officer, a seasoned technology executive with over 20 years of experience in the cybersecurity field, a strong focus on systems and security, and a proven track record of leading cyber experts to protect organization from evolving threats. The cybersecurity team has the primary responsibility for AerSale’s comprehensive cybersecurity risk management program, and supervises internal personnel as well as external cybersecurity consultants. Our processes are designed to prevent and monitor cybersecurity incidents, allowing us to timely detect and respond to incidents through our cybersecurity response plan, which includes materiality evaluations based on the size and scope of the incident. This evaluation is documented in an incident report that is shared with the Chief Information Officer, Chief Financial Officer and Audit Committee to effectively manage resources to reduce risk and prevent future incidents.</w:t>
      </w:r>
    </w:p>
    <w:p>
      <w:pPr>
        <w:spacing w:after="0" w:line="19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in Miami, Florida. In addition to our headquarters, we have the following operating locations: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Facility: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Primary purpose:</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Reporting</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Segment: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Goodyear, Arizona</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Aircraft MRO, Storage, Modification and Disassembly</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TechOps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Roswell, New Mexico</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Aircraft MRO, Storage, Disassembly, and Distribution</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TechOps and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Millington, Tennessee </w:t>
            </w:r>
            <w:r>
              <w:rPr>
                <w:rFonts w:ascii="Times New Roman" w:cs="Times New Roman" w:eastAsia="Times New Roman" w:hAnsi="Times New Roman"/>
                <w:sz w:val="26"/>
                <w:szCs w:val="26"/>
                <w:color w:val="auto"/>
                <w:vertAlign w:val="superscript"/>
              </w:rPr>
              <w:t>(1)</w:t>
            </w: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vMerge w:val="continue"/>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Aircraft MRO, Flight Control Surfaces and Disassembly</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TechOps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Albuquerque, New Mexico</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Landing Gear MRO</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TechOps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Miami, Florida</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Headquarters and Engineered Solutions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Hydraulic, Pneumatic, PMA Operations, and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TechOps, and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Electro-Mechanical Component MROs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16"/>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Hialeah Gardens, Florida </w:t>
            </w:r>
            <w:r>
              <w:rPr>
                <w:rFonts w:ascii="Times New Roman" w:cs="Times New Roman" w:eastAsia="Times New Roman" w:hAnsi="Times New Roman"/>
                <w:sz w:val="26"/>
                <w:szCs w:val="26"/>
                <w:color w:val="auto"/>
                <w:vertAlign w:val="superscript"/>
              </w:rPr>
              <w:t>(2)</w:t>
            </w: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216"/>
        </w:trPr>
        <w:tc>
          <w:tcPr>
            <w:tcW w:w="2380" w:type="dxa"/>
            <w:vAlign w:val="bottom"/>
            <w:gridSpan w:val="2"/>
            <w:vMerge w:val="continue"/>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USM Sales, Shared Services, and Flight Control Surfaces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TechOps, and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Memphis, Tennessee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USM Sales and Distribution</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TechOps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Dublin, Ireland</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Flight Equipment Asset Management</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Bridgend, United Kingdom</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Regional Representative Sales Offices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Regional Representative Sales Offices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support our growth and long-term business goals, we have expanded our operational facilities;</w:t>
      </w:r>
    </w:p>
    <w:p>
      <w:pPr>
        <w:spacing w:after="0" w:line="225" w:lineRule="exact"/>
        <w:rPr>
          <w:sz w:val="20"/>
          <w:szCs w:val="20"/>
          <w:color w:val="auto"/>
        </w:rPr>
      </w:pPr>
    </w:p>
    <w:p>
      <w:pPr>
        <w:jc w:val="both"/>
        <w:ind w:left="1040" w:right="459" w:hanging="315"/>
        <w:spacing w:after="0" w:line="227" w:lineRule="auto"/>
        <w:tabs>
          <w:tab w:leader="none" w:pos="104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February 2023, we leased 112,000 square feet of hangar space expanding our narrow body on-airport MRO presence. This new facility will provide additional capacity to accommodate the increasing MRO demand. Hangar renovations have progressed as planned, and we expect to commence operations in this facility in the first quarter of 2024.</w:t>
      </w:r>
    </w:p>
    <w:p>
      <w:pPr>
        <w:spacing w:after="0" w:line="199" w:lineRule="exact"/>
        <w:rPr>
          <w:rFonts w:ascii="Times New Roman" w:cs="Times New Roman" w:eastAsia="Times New Roman" w:hAnsi="Times New Roman"/>
          <w:sz w:val="27"/>
          <w:szCs w:val="27"/>
          <w:color w:val="auto"/>
          <w:vertAlign w:val="superscript"/>
        </w:rPr>
      </w:pPr>
    </w:p>
    <w:p>
      <w:pPr>
        <w:ind w:left="1040" w:right="119" w:hanging="315"/>
        <w:spacing w:after="0" w:line="227" w:lineRule="auto"/>
        <w:tabs>
          <w:tab w:leader="none" w:pos="104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Effective September 1, 2022 we entered into a lease for our Miami structures shop consisting of 88,000 square feet in Hialeah Gardens, Florida, for a term expiring in 2032. This location will also serve as office space for USM sales and shared services personnel. Relocation of office personnel has been completed while the structures shop is delayed but expected to conclude during the first half of 2024.</w:t>
      </w:r>
    </w:p>
    <w:p>
      <w:pPr>
        <w:sectPr>
          <w:pgSz w:w="11900" w:h="16838" w:orient="portrait"/>
          <w:cols w:equalWidth="0" w:num="1">
            <w:col w:w="9019"/>
          </w:cols>
          <w:pgMar w:left="1440" w:top="5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513" w:right="1440" w:bottom="0" w:gutter="0" w:footer="0" w:header="0"/>
          <w:type w:val="continuous"/>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Goodyear, Arizona, Roswell, New Mexico, and Millington, Tennessee facilities are on airport locations at the Phoenix Goodyear Airport, Roswell International Air Center, and Millington Regional Jetport, respectively, and are three of our FAA-authorized repair station operations centers focusing on airframe aircraft maintenance and storage. Combined, they feature over 760,000 square feet of hangar space with a capability of dry desert long-term storage for up to 650 aircraft. In addition to having airframe maintenance service offerings at these facilities, we have four FAA-authorized repair station operations in our Rio Rancho, New Mexico, Memphis, Tennessee, and Miami, Florida facilities that provide component MRO service offerings. Collectively, these facilities support the operations of our TechOps segment.</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distribute USM parts from our dedicated distribution warehouse located in Memphis, Tennessee, in addition to on-site bulk storage capacity at our Roswell, New Mexico facility. These facilities collectively provide more than 500,000 square feet of available space to efficiently manage our Flight Equipment inventories and facilitate support of our customers’ urgent spare part requirements with non-stop delivery capacity to destinations worldwide. Combined, these facilities support the operations of our Asset Management Solutions segment.</w:t>
      </w:r>
    </w:p>
    <w:p>
      <w:pPr>
        <w:spacing w:after="0" w:line="17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incidental to our business. The information set forth under “Litigation” under Note R – Commitments and Contingencies within our Consolidated Financial Statements is incorporated herein by reference.</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“ASLE”.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 of our Common Stock</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February 26, 2024, there were 7,518 holders of record of our common stock. This number of holders of record does not represent the actual number of beneficial owners of our common stock because shares of common stock are frequently held in “street name” by securities dealers and others for the benefit of individual owners who have the right to vote their shares.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Any decision to declare and pay dividends in the future will be made at the discretion of our Board of Directors and will depend on, among other things, our results of operations, financial condition, cash requirements, contractual restrictions, statutory requirements, and other factors that our Board of Directors may deem relevant. Currently, our Revolving Credit Agreement limits our ability to pay cash dividends. Accordingly, we are prohibited from declaring any cash dividends to holders of our common stock without amending or modifying the terms of our credit facility.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 ended December 31, 2023, we did not purchase any of our outstanding shares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 for (i) our common stock, (ii) the Standard</w:t>
      </w:r>
    </w:p>
    <w:p>
      <w:pPr>
        <w:spacing w:after="0" w:line="27" w:lineRule="exact"/>
        <w:rPr>
          <w:sz w:val="20"/>
          <w:szCs w:val="20"/>
          <w:color w:val="auto"/>
        </w:rPr>
      </w:pPr>
    </w:p>
    <w:p>
      <w:pPr>
        <w:jc w:val="both"/>
        <w:ind w:left="60" w:right="59" w:hanging="10"/>
        <w:spacing w:after="0" w:line="251"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500 Stock Index (“S&amp;P 500”) and (iii) the S&amp;P 500 Aerospace &amp; Defense Index (“S&amp;P A&amp;D”) for the period from February 28, 2019, the first day Monocle’s common stock was traded following its initial public offering, through December 31, 2023. For the period between February 28, 2019 through December 22, 2020 the figures relate to Monocle’s common stock, and for the period between December 23, 2020 through December 31, 2023, the figures relate to AerSale’s common stock. The graph assumes an initial investment of $100 in Monocle’s common stock and in each of the S&amp;P 500 and S&amp;P A&amp;D at the market close on February 28, 2019, and assumes reinvestment of dividends. This performance graph shall not be deemed “soliciting material” or to be “filed” with the SEC for purposes of Section 18 of the Exchange Act, or otherwise subject to the liabilities under that Section, and shall not be deemed to be incorporated by reference into any filing of AerSale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3874770" cy="2160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477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with respect to securities authorized for issuance under equity compensation plans is incorporated herein by reference to Part III, Item 12 of this Form 10-K.</w:t>
      </w:r>
    </w:p>
    <w:p>
      <w:pPr>
        <w:spacing w:after="0" w:line="158"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together with the Consolidated Financial Statements.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by AerSale because of the factors described in the sections entitled “Risk Factors” and “Special Note Regarding Forward-looking Statements.” A discussion of the year ended December 31, 2022 compared to the year ended December 31, 2021 is included in our Annual Report on Form 10-K for the year ending December 31, 2022, filed with the SEC on March 7, 2023 under Part II, Item 7, “Management’s Discussion and Analysis of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(“EFVS”)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years ended in December 31, 2023 and 2022 were as follows: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176,096</w:t>
            </w: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130,937</w:t>
            </w: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408,544</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36,156</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260" w:type="dxa"/>
            <w:vAlign w:val="bottom"/>
          </w:tcPr>
          <w:p>
            <w:pPr>
              <w:spacing w:after="0"/>
              <w:rPr>
                <w:sz w:val="18"/>
                <w:szCs w:val="18"/>
                <w:color w:val="auto"/>
              </w:rPr>
            </w:pP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revenues for the year ended December 31, 2023 decreased by $74.0 million or 18.1% compared to 2022, driven by a decrease of $62.4 million, or 22.5%, within Asset Management Solutions and a decrease of $11.6 million, or 8.9%,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Sales in the Asset Management Solutions segment decreased by $62.4 million to $215.2 million, or 22.5%, for the year ended December 31, 2023 compared to 2022, due to a $20.6 million decrease in revenues from Aircraft, and a $41.8 million decrease in revenues from Engines. The decrease in Aircraft revenue is primarily attributable to decreased activity in the B747 and B757 product lines due to lower Flight Equipment sales in the amount of $21.1 million resulting from softer demand in the freighter market, and lower leasing revenue of $6.3 million, partly offset by higher USM sales. The decrease in Engines revenue is primarily attributable to decreased activity in the RB211 and CF6-80 product lines as a result of lower Flight Equipment sales of $40.4 million, and lower leasing revenue of $7.9 million, partially offset by higher USM sales.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Cost of sales in Asset Management Solutions decreased by $11.9 million to $147.5 million, or 7.4%, for the year ended December 31, 2023 compared to 2022. The decrease in cost of sales was primarily driven by the sales decrease discussed above. Gross profit in Asset Management Solutions decreased by $50.6 million to $67.7 million, or 42.8%, for the year ended December 31, 2023 compared to 2022. The gross profit decrease is mainly attributable to lower revenue generated for the year ended December 31, 2023, as noted above.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decreased to 28.1% for the year ended December 31, 2023, from 35.6% for the year ended December 31, 2022, due to lower margin on Flight Equipment sales resulting from lower mix of B757 freighters. Engines gross profit margins decreased to 33.4% for the year ended December 31, 2023, from 46.6% for the year ended December 31, 2022, mainly due to lower margin on Flight Equipment sales, partly offset by higher margin on USM sales.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AerSale’s revenue from the TechOps segment decreased by $11.6 million to $119.3 million, or 8.9%, for the year ended December 31, 2023, compared to 2022. The decrease was primarily driven by the sale of Flight Equipment during 2022, which was acquired and dedicated to the TechOps segment prior to its ultimate sale, partly offset by higher revenues from component repair activities and heavy MRO services.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 TechOps decreased by $3.2 million to $94.6 million, or 3.3%, for the year ended December 31, 2023 compared to 2022, driven by costs generated from the sale of Flight Equipment of $16.1 million, partially offset by cost associated with revenue fluctuations noted above. Gross profit in TechOps decreased $8.4 million to $24.8 million, or 25.3%, for the year ended December 31, 2023, compared to 2022, driven by the profit generated from the sale of Flight Equipment of $7.1 million, and lower gross profit on Product sales and MRO services. Gross profit margin decreased to 20.8% for the year ended December 31, 2023 compared to 25.3% for the year ended December 31, 2022, and was largely attributable to margins generated from the sales of Flight Equipment of 32.2% for the year ended December 31, 2022, as well as lower margin on MRO services of 19.9% for the year ended December 31, 2023 compared to 22.2% for the year ended December 31, 2022.</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$6.9 million to $103.2 million, or 7.1%, for the year ended December 31, 2023, as compared to 2022. The increase was mostly related to Company-wide cost of living adjustments, additional headcount, along with higher facility costs focused on increasing MRO capacity, as well as higher legal costs incurred.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was determined using the Black-Scholes option pricing model. For the year ended December 31, 2023, we recorded a $2.3 million gain on the change in fair value of the warrant liability, compared to a $0.5 million loss in the prior year.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Interest income, net for the year ended December 31, 2023 was $0.2 million, as compared to $1.1 million for the year ended December 31, 2022. The decrease in interest income, net is due to deployment of cash on feedstock acquisitions.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2023 decreased by $1.6 million to $0.7 million, as compared to 2022 primarily due to the collection of insurance proceeds during 2022 in the amount $4.3 million for the full settlement of the Air Indus insurance claim, of which $1.8 million was classified as other income, net.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The effective tax rate for the year ended December 31, 2023 was 27.5% compared to 24.2% for the year ended December 31, 2022. The increase in the effective tax rate was mainly a result of a valuation allowance release offset and an increase in credits offset by higher nondeductible executive compensation. The difference between the effective tax rate and the statutory tax rate of 21% for the year ended December 31, 2023, was primarily due to the impact of a valuation allowance release and an increase in credits offset by executive compensation. The difference between the effective tax rate and the statutory tax rate of 21% for the year ended December 31, 2022, was primarily due to the impact of state income taxes, a valuation allowance and permanent differences partially offset by the foreign derived intangible income deduction.</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$5.9 million of cash and cash equivalents. We finance our growth through cash flows generated from operations and borrowings secured by our assets. We had $29.0 million outstanding under the Revolving Credit Agreement as of December 31, 2023, and we had $131.0 million of availability thereunder. We used cash in operations of $174.2 million, mostly for feedstock acquisitions of $131.9 million, generated cash from investing activities of $3.1 million, and generated cash from financing activities in the amount of $29.7 million for the year ended December 31, 2023.</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entered into a revolving term loan collateralized by our property and equipment (the “Equipment Loan”), and borrowed $8.6 million, which remained outstanding as of December 31, 2023.</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over the next 12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Flows—Year ended December 31, 2023 compared to Year ended December 31, 2022</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$174.2 million for the year ended December 31, 2023 compared to cash used of $0.1 million for the same period in 2022. The increase in cash deployed of $174.1 million was primarily due to feedstock acquisitions of $131.9 million and the impact of lower results from operations.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$3.1 million for the year ended December 31, 2023, compared to cash provided of $41.4 million in the same period for 2022. Cash provided by investing activities during the years ended December 31, 2023 and 2022 was driven by Flight Equipment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$29.7 million, compared to cash used of $24.3 million in the same period for 2022. The cash provided by financing activities during 2023 was primarily related to the proceeds from the Equipment Loan, as more fully described below, as well as borrowing under our Revolving Credit Agreement. The cash used in financing activities in 2022 was primarily driven by the repurchase of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to increase our maximum commitments under the Revolving Credit Agreement to $180.0 million aggregate amount,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Prior to the amendment, our Revolving Credit Agreement was scheduled to mature on March 12, 2024, and provided commitments for a $150.0 million revolving credit facility, including a $10.0 million sub facility for letters of credit and for borrowings on same-day notice referred to as “swingline loans, which has been retained.</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$29.0 million outstanding under the Revolving Credit Agreement and we had $131.0 million of availability thereunder. We were in compliance with our debt covenants for the Revolving Credit Agreement as of December 31, 2023.</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Synovus Equipment Loan</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(the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87"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borrowed $8.6 million under this facility, which remained outstanding as of December 31, 2023.</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Equipment Loan as of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December 31, 2023. Refer to Note Q – Leases within our Consolidated Financial Statements in this Annual Report for a listing of our non-cancelable contractual obligations under operating leases.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a subsidiary of Elbit Systems, valued at $33.1 million for the acquisition of technical equipment for manufacturing our AerAware™ product. The commitment is expected to be satisfied by the fourth quarter of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Refer to Note B to the Consolidated Financial Statements in Item 8 of this Annual Report for a listing of our significant accounting policies and estimates. The following is a summary of critical accounting estimates and additional information on the level of uncertainty regarding relevant changes to the estimates and assumptions.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measure revenue based on the consideration specified in a contract with a customer, and exclude any sales commissions and taxes collected and remitted to government agencies. We recognize revenue when it satisfies a performance obligation by transferring control over a product or service to a customer. Our performance obligations are satisfied over time as work progresses or at a point in time based on transfer of control of products and services to our customers. For service revenue, we utilize the input method of cost-to-cost to measure progress and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are recorded using the cumulative catch-up method of accounting. The catch-up adjustment for the current year due to changes in revenue estimates did not have a material impact on our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Cost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record inventory at the lower of cost or market value. For purchases of whole aircraft and engines for sale or lease, cost is determined using the specific identification method whereby total cost is the cost paid, including certain asset acquisition costs that can be capitalized, to acquire such assets as a whole.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we purchase certain whole aircraft and engines to disassemble and supply material for our engine and airframe USM inventory. For aircraft and engine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Inventory not expected to be sold within the operating cycle is classified as non-current inventory on the Consolidated Balance Sheets.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evaluate this ratio periodically, and if necessary, update our sales estimates and make prospective adjustments to this ratio. Any amounts identified with an estimated sales value lower than the carrying value is reduced to the estimated sales value at the time of the review. Expenditures required for the repair of engine and airframe parts are capitalized as inventory and are expensed as cost of sales when associated parts are sold. During the year ended December 31, 2023, we adjusted the estimated return in certain product lines as a result of new material received into inventory as well as changes in demand for certain product lines. During the year ended December 31, 2023, there were no adjustments to the inventory reserve.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most recent adopted and to be adopted accounting pronouncements are described in Note B to AerSale’s Consolidated Financial Statements included in this Annual Report.</w:t>
      </w:r>
    </w:p>
    <w:p>
      <w:pPr>
        <w:spacing w:after="0" w:line="37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Equipment Loan, which have variable interest rates tied to SOFR. As of December 31, 2023, we had $29.0 million outstanding variable rate borrowings under the Revolving Credit Agreement and $8.6 million outstanding variable rate borrowings under the Equipment Loan. A ten percent increase in the average interest rate affecting our variable rate debt outstanding as of December 31, 2023 would increase our annual interest expense by $0.4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0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7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702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AERSALE CORPORATION</w:t>
            </w:r>
          </w:p>
        </w:tc>
        <w:tc>
          <w:tcPr>
            <w:tcW w:w="7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702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700" w:type="dxa"/>
            <w:vAlign w:val="bottom"/>
          </w:tcPr>
          <w:p>
            <w:pPr>
              <w:spacing w:after="0"/>
              <w:rPr>
                <w:sz w:val="24"/>
                <w:szCs w:val="24"/>
                <w:color w:val="auto"/>
              </w:rPr>
            </w:pPr>
          </w:p>
        </w:tc>
      </w:tr>
      <w:tr>
        <w:trPr>
          <w:trHeight w:val="427"/>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78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70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4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4640" w:type="dxa"/>
            <w:vAlign w:val="bottom"/>
            <w:gridSpan w:val="3"/>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6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2022 and 2021</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75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280" w:type="dxa"/>
            <w:vAlign w:val="bottom"/>
          </w:tcPr>
          <w:p>
            <w:pPr>
              <w:spacing w:after="0"/>
              <w:rPr>
                <w:sz w:val="17"/>
                <w:szCs w:val="17"/>
                <w:color w:val="auto"/>
              </w:rPr>
            </w:pP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69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for the years ended December 31, 2023, 2022 and 2021</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95"/>
              </w:rPr>
              <w:t>47-76</w:t>
            </w:r>
          </w:p>
        </w:tc>
      </w:tr>
      <w:tr>
        <w:trPr>
          <w:trHeight w:val="20"/>
        </w:trPr>
        <w:tc>
          <w:tcPr>
            <w:tcW w:w="84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AerSale Corporation (a Delaware corporation) and subsidiaries (the “Company”) as of December 31, 2023 and 2022, the related consolidated statements of operations,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147,188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$978 and $1,074 as of December 31, 2023 and</w:t>
            </w: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31,239</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2022</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177,770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 net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29,899</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52,840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108,923</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86,599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52,954,430 and</w:t>
            </w: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51,189,461 shares as of December 31, 2023 and December 31, 2022</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311,739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133,271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444,980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209,881</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30,657</w:t>
            </w:r>
          </w:p>
        </w:tc>
      </w:tr>
      <w:tr>
        <w:trPr>
          <w:trHeight w:val="216"/>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99,899</w:t>
            </w:r>
          </w:p>
        </w:tc>
      </w:tr>
      <w:tr>
        <w:trPr>
          <w:trHeight w:val="21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340,437</w:t>
            </w: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74,147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71,766</w:t>
            </w:r>
          </w:p>
        </w:tc>
      </w:tr>
      <w:tr>
        <w:trPr>
          <w:trHeight w:val="209"/>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221,045</w:t>
            </w:r>
          </w:p>
        </w:tc>
      </w:tr>
      <w:tr>
        <w:trPr>
          <w:trHeight w:val="20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119,392</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77,498</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Payroll support program proceeds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r>
      <w:tr>
        <w:trPr>
          <w:trHeight w:val="196"/>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1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55,046</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56,662</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loss on investment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r>
      <w:tr>
        <w:trPr>
          <w:trHeight w:val="21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(8,888)</w:t>
            </w:r>
          </w:p>
        </w:tc>
      </w:tr>
      <w:tr>
        <w:trPr>
          <w:trHeight w:val="20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income before income tax provision</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47,774</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(11,659)</w:t>
            </w:r>
          </w:p>
        </w:tc>
      </w:tr>
      <w:tr>
        <w:trPr>
          <w:trHeight w:val="210"/>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 income</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36,115</w:t>
            </w:r>
          </w:p>
        </w:tc>
      </w:tr>
      <w:tr>
        <w:trPr>
          <w:trHeight w:val="20"/>
        </w:trPr>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earnings per share: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r>
      <w:tr>
        <w:trPr>
          <w:trHeight w:val="210"/>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0.76</w:t>
            </w:r>
          </w:p>
        </w:tc>
      </w:tr>
      <w:tr>
        <w:trPr>
          <w:trHeight w:val="209"/>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51,291,424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51,568,436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43,193,995</w:t>
            </w: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51,457,821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53,145,639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47,310,100</w:t>
            </w:r>
          </w:p>
        </w:tc>
      </w:tr>
    </w:tbl>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2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 of   Treasury Stock,</w:t>
            </w:r>
          </w:p>
        </w:tc>
        <w:tc>
          <w:tcPr>
            <w:tcW w:w="16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20" w:type="dxa"/>
            <w:vAlign w:val="bottom"/>
            <w:vMerge w:val="continue"/>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78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earnings Treasury Stock</w:t>
            </w:r>
          </w:p>
        </w:tc>
        <w:tc>
          <w:tcPr>
            <w:tcW w:w="9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at cost</w:t>
            </w:r>
          </w:p>
        </w:tc>
        <w:tc>
          <w:tcPr>
            <w:tcW w:w="16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41,046,216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4"/>
                <w:szCs w:val="14"/>
                <w:color w:val="000000"/>
              </w:rPr>
              <w:t>292,593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4"/>
                <w:szCs w:val="14"/>
                <w:color w:val="000000"/>
              </w:rPr>
              <w:t>58,858</w:t>
            </w: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231F2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351,455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3,709,803</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(694)</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upon exercise of</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807,114</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tendered for cashless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public warrants</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6,079,966</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color w:val="auto"/>
              </w:rPr>
              <w:t>36,115</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51,673,099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4"/>
                <w:szCs w:val="14"/>
                <w:color w:val="000000"/>
              </w:rPr>
              <w:t>313,901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4"/>
                <w:szCs w:val="14"/>
                <w:color w:val="000000"/>
              </w:rPr>
              <w:t>94,973</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231F2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upon exercise of</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47,867</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the 2020</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the 2020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921,769</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surrendered for tax</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 on equity awards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(2,592)</w:t>
            </w: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1,500,000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(22,204)</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(22,204)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(1,500,000)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(22,204)</w:t>
            </w: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(1,500,000)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140" w:type="dxa"/>
            <w:vAlign w:val="bottom"/>
          </w:tcPr>
          <w:p>
            <w:pPr>
              <w:spacing w:after="0"/>
              <w:rPr>
                <w:sz w:val="18"/>
                <w:szCs w:val="18"/>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43,861</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51,189,461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4"/>
                <w:szCs w:val="14"/>
                <w:color w:val="000000"/>
              </w:rPr>
              <w:t>306,141</w:t>
            </w:r>
          </w:p>
        </w:tc>
        <w:tc>
          <w:tcPr>
            <w:tcW w:w="140" w:type="dxa"/>
            <w:vAlign w:val="bottom"/>
          </w:tcPr>
          <w:p>
            <w:pPr>
              <w:spacing w:after="0"/>
              <w:rPr>
                <w:sz w:val="18"/>
                <w:szCs w:val="18"/>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231F20"/>
                <w:w w:val="98"/>
              </w:rPr>
              <w:t>$</w:t>
            </w:r>
            <w:r>
              <w:rPr>
                <w:rFonts w:ascii="Times New Roman" w:cs="Times New Roman" w:eastAsia="Times New Roman" w:hAnsi="Times New Roman"/>
                <w:sz w:val="14"/>
                <w:szCs w:val="14"/>
                <w:color w:val="000000"/>
                <w:w w:val="98"/>
              </w:rPr>
              <w:t>138,834</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the 2020</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the 2020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1,719,214</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surrendered for tax</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 on equity awards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(7,019)</w:t>
            </w: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40" w:type="dxa"/>
            <w:vAlign w:val="bottom"/>
          </w:tcPr>
          <w:p>
            <w:pPr>
              <w:spacing w:after="0"/>
              <w:rPr>
                <w:sz w:val="18"/>
                <w:szCs w:val="18"/>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(5,563)</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(5,563)</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52,954,430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4"/>
                <w:szCs w:val="14"/>
                <w:color w:val="000000"/>
              </w:rPr>
              <w:t>311,739</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8"/>
                <w:szCs w:val="18"/>
                <w:color w:val="231F20"/>
                <w:w w:val="98"/>
              </w:rPr>
              <w:t>$</w:t>
            </w:r>
            <w:r>
              <w:rPr>
                <w:rFonts w:ascii="Times New Roman" w:cs="Times New Roman" w:eastAsia="Times New Roman" w:hAnsi="Times New Roman"/>
                <w:sz w:val="14"/>
                <w:szCs w:val="14"/>
                <w:color w:val="000000"/>
                <w:w w:val="98"/>
              </w:rPr>
              <w:t>133,271</w:t>
            </w:r>
          </w:p>
        </w:tc>
        <w:tc>
          <w:tcPr>
            <w:tcW w:w="10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231F2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(5,563)</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43,861</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aircraft held for lease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related party investment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on legal settlement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(174,150)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79,079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legal settlement,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(11,359)</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Agreement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Agreement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(53,700)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employee taxes on withholding shares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exercise of warrants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top w:val="single" w:sz="8" w:color="CCEEFF"/>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29,744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(24,258)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147,188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147,188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aircraft and aircraft engines inventory to (from) aircraft and engine held for lease,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customer purchase deposits to sale of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amounts due from related party to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5,421</w:t>
            </w:r>
          </w:p>
        </w:tc>
        <w:tc>
          <w:tcPr>
            <w:tcW w:w="0" w:type="dxa"/>
            <w:vAlign w:val="bottom"/>
          </w:tcPr>
          <w:p>
            <w:pPr>
              <w:spacing w:after="0"/>
              <w:rPr>
                <w:sz w:val="1"/>
                <w:szCs w:val="1"/>
                <w:color w:val="auto"/>
              </w:rPr>
            </w:pPr>
          </w:p>
        </w:tc>
      </w:tr>
    </w:tbl>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A-DESCRIPTION OF THE BUSINESS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are based in Miami, Florida, with additional offices, hangars, and warehouses globally.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Description of the Business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is a worldwide provider of aftermarket commercial aircraft and engines (“Flight Equipment”) and their parts to airlines, leasing companies, manufacturers of original equipment, government and defense contractors, and repair and overhaul service providers. We focus on mid-life assets and monetize them through our Asset Management Solutions segment. Asset Management Solutions activities include monetization of the assets through leasing or sale of whole asset components, or through teardown activities in support of our Used Serviceable Material (“USM”) activities. Our monetizing services have been developed to maximize returns on mid-life commercial aircraft and engines (“Flight Equipment”) throughout their operating life, in conjunction with realizing the highest residual value of Flight Equipment at their retirement. We do this by utilizing our deep market and technical knowledge in management of Flight Equipment sales, leasing and Maintenance, Repair, and Overhaul (“MRO”) activities. Beyond providing asset management services on our own Flight Equipment, we additionally provide asset management services to third-party clients complementing their infrastructure to optimize their Flight Equipment investments. While our offering to customers includes leasing of mid-life Flight Equipment, this service is offered in the context of a broader strategy to extract the maximum value from those assets. Frequently, we will offer a lease of an asset for the time period before its next scheduled overhaul (“green time”) on a short term or “spot” lease, with the intent of disassembling the asset at the conclusion of the lease. In turn, the vast majority of assets that we acquire are ultimately disassembled into parts once the remaining green time has been utilized.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Through its TechOps segment, the Company also operates six Federal Aviation Administration (“FAA”) Title 14 Code of Federal Regulations Part 145 Certified Repair Facilities (the MROs) located in Goodyear, Arizona, Millington, Tennessee, Roswell and Albuquerque, New Mexico, as well as two facilities in Miami, Florida.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 Leveraging its robust engineering team, TechOps also provide highly specialized technical support to our MRO facilities, as well as developing advanced technical repairs, modifications and products marketed as Engineered Solutions. This business unit includes the design, manufacture, and installation of new products, systems, and services that can enhance aircraft performance, safety, and service life.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-SUMMARY OF SIGNIFICANT 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Presentation</w:t>
      </w:r>
    </w:p>
    <w:p>
      <w:pPr>
        <w:spacing w:after="0" w:line="22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all of its wholly owned subsidiaries. All significant intercompany balances and transactions are eliminated upon consolidation.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Emerging Growth Company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ind w:left="60" w:right="59" w:firstLine="693"/>
        <w:spacing w:after="0" w:line="269"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Company’s cash equivalents are held primarily in interest-bearing accounts.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functional currency for its foreign subsidiaries is the U.S. dollar. The primary economic environment in which the entities generate or expend cash is in U.S. dollars as evidenced by the cash flows in or out from revenues, operating expenses, investing, and financings. Only general office expenses and payroll transactions are denominated in local currency of our foreign subsidiaries.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include amounts receivable from customers for aircraft and engine parts sales, aircraft and engine basic and supplemental rents, and aircraft services. Contingent rents, also referred to as supplemental rent, which are unbilled, are also included in accounts receivable.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sells to a variety of customers worldwide. For certain transactions and customers not requiring payment in full prior to shipment of goods, the Company extends credit based on an evaluation of the customers’ financial condition. The Company monitors exposure to credit losses and maintains an allowance for doubtful accounts for estimated losses in its accounts receivable portfolio. In establishing the required allowance, management considers historical losses, current market conditions, customers’ financial condition, amount of receivables in dispute, current receivables aging, and current payment patterns. Account balances are written off against the allowance after all means of collection have been exhausted and the potential for recovery is considered remote. A rollforward of the allowance for credit losses is as follows (in thousands):</w:t>
      </w:r>
    </w:p>
    <w:p>
      <w:pPr>
        <w:spacing w:after="0" w:line="19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620" w:type="dxa"/>
            <w:vAlign w:val="bottom"/>
            <w:tcBorders>
              <w:bottom w:val="single" w:sz="8" w:color="231F20"/>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231F20"/>
              </w:rPr>
              <w:t>2022</w:t>
            </w: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Balance at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Provision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Write-offs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Balance at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9, 2014, an aircraft leased to Air Indus suffered significant damage as the result of a terrorist attack. At that time, the Company recorded an impairment to the asset of $2.5 million to adjust the carrying amount to the estimated residual value of $1.1 million. The Company filed an insurance claim and recorded an insurance receivable of $2.5 million, offsetting the impairment loss, which was recorded in accounts receivable in the Company’s Consolidated Balance Sheet as of December 31, 2021. In accordance with accounting principles generally accepted in the United States (“U.S. GAAP”), the probable amount of the insurance recovery, limited to the amount of the loss recognized, was recorded as the insurance receivable. Effective November 30, 2022, a final settlement was reached and insurance proceeds net of expenses of $4.2 million were received, of which $1.7 million was classified as other income, net on the Consolidated Statement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Inventory, which consists of complete aircraft and engines held for sale, as well as related parts, is valued at the Lower of Cost or Market (“LCM”) value. For purchases of whole aircraft and engines for sale or lease, cost is determined using the specific identification method whereby total cost is the cost paid, including certain capitalizable asset acquisition costs, to acquire such assets as a whole.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the Company purchases certain whole aircraft and engines to disassemble and supply its engine and airframe parts inventory. For aircraft and engine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Inventory not expected to be sold within the operating cycle is classified as noncurrent inventory on the Consolidated Balance Sheets.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this ratio periodically, and if necessary, updates sales value estimates and makes prospective adjustments to this ratio on a product line basis. Any amounts identified with an estimated sales value lower than the carrying value is reduced to the estimated sales value at the time of the review. The Company recorded additional inventory reserves due to this LCM valuation, which is reflected as a component of cost of products in the Consolidated Statements of Operations. These additional inventory reserves were as follows (in thousands):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7620</wp:posOffset>
            </wp:positionV>
            <wp:extent cx="11144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9" w:lineRule="exact"/>
        <w:rPr>
          <w:sz w:val="20"/>
          <w:szCs w:val="20"/>
          <w:color w:val="auto"/>
        </w:rPr>
      </w:pPr>
    </w:p>
    <w:p>
      <w:pPr>
        <w:ind w:left="656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7" w:lineRule="exact"/>
        <w:rPr>
          <w:sz w:val="20"/>
          <w:szCs w:val="20"/>
          <w:color w:val="auto"/>
        </w:rPr>
      </w:pPr>
    </w:p>
    <w:p>
      <w:pPr>
        <w:ind w:left="940"/>
        <w:spacing w:after="0"/>
        <w:tabs>
          <w:tab w:leader="none" w:pos="6280" w:val="left"/>
          <w:tab w:leader="none" w:pos="6960" w:val="left"/>
          <w:tab w:leader="none" w:pos="7240" w:val="left"/>
          <w:tab w:leader="none" w:pos="7580" w:val="left"/>
        </w:tabs>
        <w:rPr>
          <w:sz w:val="20"/>
          <w:szCs w:val="20"/>
          <w:color w:val="auto"/>
        </w:rPr>
      </w:pPr>
      <w:r>
        <w:rPr>
          <w:rFonts w:ascii="Times New Roman" w:cs="Times New Roman" w:eastAsia="Times New Roman" w:hAnsi="Times New Roman"/>
          <w:sz w:val="18"/>
          <w:szCs w:val="18"/>
          <w:b w:val="1"/>
          <w:bCs w:val="1"/>
          <w:color w:val="auto"/>
        </w:rPr>
        <w:t>Inventory reserves</w:t>
      </w:r>
      <w:r>
        <w:rPr>
          <w:sz w:val="20"/>
          <w:szCs w:val="20"/>
          <w:color w:val="auto"/>
        </w:rPr>
        <w:tab/>
      </w:r>
      <w:r>
        <w:rPr>
          <w:rFonts w:ascii="Times New Roman" w:cs="Times New Roman" w:eastAsia="Times New Roman" w:hAnsi="Times New Roman"/>
          <w:sz w:val="18"/>
          <w:szCs w:val="18"/>
          <w:b w:val="1"/>
          <w:bCs w:val="1"/>
          <w:color w:val="231F20"/>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231F20"/>
        </w:rPr>
        <w:t>$</w:t>
      </w:r>
      <w:r>
        <w:rPr>
          <w:sz w:val="20"/>
          <w:szCs w:val="20"/>
          <w:color w:val="auto"/>
        </w:rPr>
        <w:tab/>
      </w:r>
      <w:r>
        <w:rPr>
          <w:rFonts w:ascii="Times New Roman" w:cs="Times New Roman" w:eastAsia="Times New Roman" w:hAnsi="Times New Roman"/>
          <w:sz w:val="17"/>
          <w:szCs w:val="17"/>
          <w:color w:val="auto"/>
        </w:rPr>
        <w:t>1,845</w:t>
      </w:r>
    </w:p>
    <w:p>
      <w:pPr>
        <w:spacing w:after="0" w:line="20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Expenditures required for the repair of engine and airframe parts are capitalized as inventory and are expensed as cost of products when associated parts are sold.</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complete aircraft and engines in inventory and Flight Equipment held for lease to determine if events or market circumstances indicate that the assets’ most likely disposition has changed. Should conditions prevail at the time of the Company’s Consolidated Balance Sheets that would suggest a more likely use as an asset held for lease rather than sale or disassembly for parts inventory or vice versa, it will be reclassified at its then-current book value between inventory and fixed asset - aircraft and engines held for lease, net. This transaction is a noncash item and if it occurs, is reflected in the schedule of supplemental cash flows.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carrying value of inventory is reviewed regularly, giving consideration to factors such as its physical condition, sales patterns, and expected future demand to estimate the amount necessary to write down our slow-moving, obsolete, or damaged inventory. Such inventory may be held for periods beyond one year. The Company recorded inventory scrap losses which are reflected as a component of cost of products in the accompanying Consolidated Statements of Operations. These scrap losses are as follows (in thousands):</w:t>
      </w:r>
    </w:p>
    <w:p>
      <w:pPr>
        <w:spacing w:after="0" w:line="27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7620</wp:posOffset>
            </wp:positionV>
            <wp:extent cx="1114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9" w:lineRule="exact"/>
        <w:rPr>
          <w:sz w:val="20"/>
          <w:szCs w:val="20"/>
          <w:color w:val="auto"/>
        </w:rPr>
      </w:pPr>
    </w:p>
    <w:p>
      <w:pPr>
        <w:ind w:left="656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7" w:lineRule="exact"/>
        <w:rPr>
          <w:sz w:val="20"/>
          <w:szCs w:val="20"/>
          <w:color w:val="auto"/>
        </w:rPr>
      </w:pPr>
    </w:p>
    <w:p>
      <w:pPr>
        <w:ind w:left="940"/>
        <w:spacing w:after="0"/>
        <w:tabs>
          <w:tab w:leader="none" w:pos="6280" w:val="left"/>
          <w:tab w:leader="none" w:pos="6620" w:val="left"/>
          <w:tab w:leader="none" w:pos="7240" w:val="left"/>
          <w:tab w:leader="none" w:pos="7720" w:val="left"/>
        </w:tabs>
        <w:rPr>
          <w:sz w:val="20"/>
          <w:szCs w:val="20"/>
          <w:color w:val="auto"/>
        </w:rPr>
      </w:pPr>
      <w:r>
        <w:rPr>
          <w:rFonts w:ascii="Times New Roman" w:cs="Times New Roman" w:eastAsia="Times New Roman" w:hAnsi="Times New Roman"/>
          <w:sz w:val="18"/>
          <w:szCs w:val="18"/>
          <w:b w:val="1"/>
          <w:bCs w:val="1"/>
          <w:color w:val="auto"/>
        </w:rPr>
        <w:t>Scrap loss reserves</w:t>
      </w:r>
      <w:r>
        <w:rPr>
          <w:sz w:val="20"/>
          <w:szCs w:val="20"/>
          <w:color w:val="auto"/>
        </w:rPr>
        <w:tab/>
      </w:r>
      <w:r>
        <w:rPr>
          <w:rFonts w:ascii="Times New Roman" w:cs="Times New Roman" w:eastAsia="Times New Roman" w:hAnsi="Times New Roman"/>
          <w:sz w:val="18"/>
          <w:szCs w:val="18"/>
          <w:b w:val="1"/>
          <w:bCs w:val="1"/>
          <w:color w:val="231F20"/>
        </w:rPr>
        <w:t>$</w:t>
      </w:r>
      <w:r>
        <w:rPr>
          <w:sz w:val="20"/>
          <w:szCs w:val="20"/>
          <w:color w:val="auto"/>
        </w:rPr>
        <w:tab/>
      </w:r>
      <w:r>
        <w:rPr>
          <w:rFonts w:ascii="Times New Roman" w:cs="Times New Roman" w:eastAsia="Times New Roman" w:hAnsi="Times New Roman"/>
          <w:sz w:val="18"/>
          <w:szCs w:val="18"/>
          <w:color w:val="auto"/>
        </w:rPr>
        <w:t>1,507</w:t>
      </w:r>
      <w:r>
        <w:rPr>
          <w:sz w:val="20"/>
          <w:szCs w:val="20"/>
          <w:color w:val="auto"/>
        </w:rPr>
        <w:tab/>
      </w:r>
      <w:r>
        <w:rPr>
          <w:rFonts w:ascii="Times New Roman" w:cs="Times New Roman" w:eastAsia="Times New Roman" w:hAnsi="Times New Roman"/>
          <w:sz w:val="18"/>
          <w:szCs w:val="18"/>
          <w:b w:val="1"/>
          <w:bCs w:val="1"/>
          <w:color w:val="231F20"/>
        </w:rPr>
        <w:t>$</w:t>
      </w:r>
      <w:r>
        <w:rPr>
          <w:sz w:val="20"/>
          <w:szCs w:val="20"/>
          <w:color w:val="auto"/>
        </w:rPr>
        <w:tab/>
      </w:r>
      <w:r>
        <w:rPr>
          <w:rFonts w:ascii="Times New Roman" w:cs="Times New Roman" w:eastAsia="Times New Roman" w:hAnsi="Times New Roman"/>
          <w:sz w:val="17"/>
          <w:szCs w:val="17"/>
          <w:color w:val="auto"/>
        </w:rPr>
        <w:t>261</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Flight Equipment Held for Lease</w:t>
      </w:r>
    </w:p>
    <w:p>
      <w:pPr>
        <w:spacing w:after="0" w:line="225"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Flight Equipment held for lease is stated at cost, less accumulated depreciation. Certain internal and external professional fees, major improvements, modifications, and maintenance incurred in connection with the acquisition of Flight Equipment that are required to get the Flight Equipment ready for initial service are capitalized and depreciated over the remaining life of the Flight Equipment, and are reported in the investing activities section of the Consolidated Statements of Cash Flows. Subsequent to placing Flight Equipment into service, the cost of maintenance and improvements to Flight Equipment is normally expensed unless the improvements materially increase the long-term value of the Flight Equipment or extend the useful life of the Flight Equipment. The capitalized cost is depreciated over the lesser of the remaining useful life of the Flight Equipment or the estimated useful life of the capitalized improvements. Aircraft airframe components are depreciated over the assets’ useful life using the straight-line method to the estimated residual value based on the total remaining life before disassembly or outright scrap metal value. Aircraft useful lives range from 0 to 7 years. Engines are depreciated using the straight-line method to the estimated residual value based on the total life remaining before disassembly. To arrive at the total engine life remaining before disassembly, the remaining life of the engine’s life-limited parts, the estimated utilization, and condition, as well as the aircraft fleet supported by the engine model are considered. Upon completion of its estimated service life as a leased asset, Flight Equipment is reclassified to inventory at its carrying value. The Company discontinues the depreciation of Flight Equipment when it is held as inventory for ultimate parts sales. Differences between estimates of useful lives and residual values and actual experience may result in future impairments of aircraft or engines and/or additional gains or losses upon disposal. The Company reviews residual values of aircraft and engines periodically based on knowledge of current residual values and residual value trends to determine if they are appropriate and records adjustments as necessary. Cash flows related to the purchase and sale of Flight Equipment are presented as operating activities when the predominant source of cash flows related to the asset is from the ultimate parts sales of the assets. If the predominant source of cash flows related to the asset is expected to be from leasing of the asset, the cash flows are presented as investing activities.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recognized over the estimated useful lives of the respective assets on a straight-line basis, ranging from 2 to 15 years. Leasehold improvements are amortized on a straight-line basis over the shorter of the terms of the respective leases and the estimated useful lives of the respective assets. Property and equipment held under capital leases are amortized on a straight-line basis over the shorter of the lease term or estimated useful life of the asset. Repairs and maintenance expenditures are expensed as incurred, unless such expenses extend the useful life of the asset, in which case they are capitalized.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Equity investments with readily determinable fair values are measured at fair value. Equity investments without readily determinable fair values are measured at cost and adjusted for impairments or observable price changes. We perform a qualitative assessment on an annual basis and recognize an impairment if there are sufficient indicators that the fair value of the investment is less than carrying value. Impairment charges are presented under “unrealized loss on investment” within the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Codification (“ASC”) 350, “Intangibles — Goodwill and Other,”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Our annual assessment date for goodwill is October 1st.</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a quantitative impairment analysis as of October 1, 2023 and a qualitative impairment analysis as of October 1, 2022 on the goodwill for the Asset Management Solutions and TechOps segments (see Note P – Business Segments for a discussion about our business segments), and updated through December 31, 2023 and 2022, respectively, concluding that the fair value of each reporting unit exceeded their carrying values, and thus no impairment was recorded.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Intangibles arising from business combinations, including customer relationships and FAA certificates are initially recorded at fair market value. Customer relationships are amortized over ten years. Straight-line amortization is utilized. Where there are no legal, regulatory, contractual, or other factors that would reasonably limit the useful life of an intangible assets, that asset is classified as indefinite lived and such intangible assets are not amortized.</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with indefinite lives are assessed for impairment annually, or more frequently when events or circumstances indicate there may be an impairment. These assets are carried at the estimated fair value at the time of acquisition. Our annual assessment date for indefinite lived intangible assets is July 1st. The Company performed a quantitative impairment analysis as of July 1, 2023 and 2022 on the indefinite lived intangible assets and concluded there were no impairments.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Other intangible assets are reviewed for impairment if any event or change in circumstance indicates that an impairment may have occurred. The Company annually reviews the estimated lives and methods used to amortize other intangible assets. The actual amounts of amortization expense may differ materially from our estimates, depending on the results of our annual review.</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Such events and circumstances include, but are not limited to, prolonged industry downturns, a significant decline in the Company’s market value, and significant reductions in the Company's projected cash flows.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Obligations and Instruments Potentially Settled in the Company’s Common Stock</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any obligations and instruments potentially to be settled in the Company’s stock, including the Company's earn-out shares, the Company accounts for the instruments in accordance with ASC Topic 815, “Accounting for Derivative Financial Instruments Indexed to, and Potentially Settled in a Company’s Own Stock.” This issue addresses the initial balance sheet classification and measurement of contracts that are indexed to, and potentially settled in, the Company’s stock. Under this pronouncement, contracts are initially classified as equity or as either assets or liabilities, depending on the situation. All contracts are initially measured at fair value and subsequently accounted for based on the then current classification. Contracts initially classified as equity do not recognize subsequent changes in fair value as long as the contracts continue to be classified as equity. For contracts classified as assets or liabilities, the Company reports changes in fair value in earnings and records these changes in the financial statements as long as the contracts remain classified as assets or liabilities. If contracts classified as assets or liabilities are ultimately settled in shares, any previously reported gains or losses on those contracts continue to be included in earnings. The classification of a contract is reassessed at each balance sheet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Products Revenue — Whole Asset Sales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is based on a set price for a set number of assets, which is allocated to the performance obligation discussed above, in its entirety. The Company has determined the date of transfer to the customer is the date the customer obtains control over the asset, resulting in the recognition of revenue. Payment is required in full upon customers’ acceptance of the whole asset on the date of the transfer, unless the Company extends credit terms to customers it deems creditworthy.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Services Revenue</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Services revenue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 of sales,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 terminated for convenience, we are entitled to payment for items delivered and fair compensation for work performed, the costs of settling and paying other claims, and a reasonable profit on the costs incurred or committed.</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Consolidated Statements of Operations, and are not considered a performance obligation to our customers. Our reported sales on our Consolidated Statements of Operations are net of any sales or related non income taxes.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Maintenance and Repair Costs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cost of maintenance, repairs, and re-leasing of Flight Equipment that does not extend the useful life of Flight Equipment is expensed as incurred. Costs incurred for planned major maintenance activities that materially increase the long-term value of the Flight Equipment or extend the useful life of the Flight Equipment are capitalized and depreciated over the lesser of the remaining useful life of the Flight Equipment or the estimated useful life of the capitalized improvements.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Pursuant to certain of the Company’s aircraft leases, the lessee is responsible for performing required maintenance and repairs on the leased asset, and is required to make monthly maintenance reserve payments to the Company, in arrears following the usage month. Upon the lessee’s presentation of invoices evidencing the completion of qualifying maintenance, the Company will reimburse the lessee for the cost of the maintenance, up to the amount of the maintenance reserve payments that have been received by the Company. Unless otherwise provided in the contract, the Company records such maintenance reserve payments paid by the lessees as maintenance deposit payments and other liabilities in the accompanying Consolidated Balance Sheets to record the Company’s contractual commitment to reimburse such qualifying maintenance. Reimbursements to the lessees upon receipt of evidence for qualifying maintenance work are charged against the existing maintenance deposit payments and other liabilities.</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other lease contracts (primarily engine lease contracts) where the terms of the lease are designed specifically to allow the Company to directly manage the occurrence, timing, and associated cost of qualifying maintenance work on the Flight Equipment, maintenance reserve payments collected during the lease are recognized as leasing revenue in the period earned.</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amounts of maintenance reserve payments remaining at the end of a lease contract are recognized as lease revenue or applied against outstanding accounts receivable at lease termination.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Share Based Compensation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share-based compensation to employees in accordance with ASC 718, “Compensation —Stock Compensation.”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estimated number of stock awards that will ultimately vest requires judgment, and to the extent actual results or updated estimates differ from the Company’s current estimates, such amount will be recorded as a cumulative adjustment in the period estimates are revised. Changes in the Company’s estimates and assumptions may cause us to realize material changes in share-based compensation expense in the future.</w:t>
      </w:r>
    </w:p>
    <w:p>
      <w:pPr>
        <w:spacing w:after="0" w:line="180"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unrecorded compensation expense related to the prior periods. For any share-based awards where performance-based vesting criteria is no longer considered probable, previously recognized compensation cost would be reversed.</w:t>
      </w:r>
    </w:p>
    <w:p>
      <w:pPr>
        <w:spacing w:after="0" w:line="16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Accounting Standards Update (“ASU”) 2018-07, “Improvements to Nonemployee Share-Based Payment Accounting,” which generally expands the scope of ASC 718, Compensation – Stock Compensation, to include share-based payment transactions for acquiring goods and services from nonemployees and supersedes the guidance in ASC 505-50, Equity-Based Payments to Non-employees, which previously included the accounting for nonemployee awards.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Sales Taxes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present taxes collected from customers and remitted to governmental authorities on a net basis. The Company records the amounts collected as a current liability and relieves such liability upon remittance to the taxing authority without impacting revenue or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earnings attributable to the Company’s common stockholders by the weighted average number of common shares outstanding during the periods. Diluted (loss) earnings per share reflects the potential dilution that could occur if securities or other contracts to issue common stock were exercised or converted into common stock and is calculated using the treasury stock method for stock options and unvested shares.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in the income tax provision.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 Adopted</w:t>
      </w:r>
    </w:p>
    <w:p>
      <w:pPr>
        <w:spacing w:after="0" w:line="22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On January 7, 2021, the FASB issued ASU No. 2021-01, Reference Rate Reform (Topic 848). This new standard provides optional temporary guidance for entities transitioning away from London Interbank Offered Rate (“LIBOR”) to new reference interest rates so that derivatives affected by the discounting transition are explicitly eligible for certain optional expedients and exceptions with Topic 848. These amendments do not apply to any contract modifications made after December 31, 2022, any new hedging relationships entered into after December 31, 2022, or to existing hedging relationships evaluated for effectiveness existing as of December 31, 2022, that apply certain optional practical expedients. This standard was effective immediately and may be applied (i) on a full retrospective basis as of any date from the beginning of an interim period that includes or is subsequent to March 12, 2020, or (ii) on a prospective basis to new modifications from any date within an interim period that includes or is subsequent to the date of the issuance of a final update, up to the date that financial statements are available to be issued. To ensure the relief in Topic 848 covers the period of time during which a significant number of modifications may take place, ASU 2022-06 defers the sunset date of Topic 848 from December 31, 2022, to December 31, 2024, after which entities will no longer be permitted to apply the relief in Topic 848. Based on our review of our key material contracts through December 31, 2023, ASU 2021-01 does not have a material impact to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2016, FASB issued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became effective for the Company for the annual period beginning on January 1, 2022, and the impact was recorded retroactively at the beginning of the period of adoption through a cumulative-effect adjustment. We elected the practical expedients, which permits us to not reassess (i) whether any expired or existing contracts are or contain leases, (ii) the lease classification for any expired leases and (iii) indirect costs for any existing leases. In addition, we have elected the practical expedients to not separate lease and non-lease components for both lessee and lessor relationships and to not apply the recognition requirements to leases with terms of less than 12 months. Upon adoption of ASC 842 on January 1, 2022, we recognized operating lease right of use (“ROU”) assets of $13.2 million and operating lease liabilities of $13.4 million on our Consolidated Balance Sheet. The adoption of ASC 842 did not have a material impact on the Consolidated Statements of Operations or Cash Flows.</w:t>
      </w:r>
    </w:p>
    <w:p>
      <w:pPr>
        <w:spacing w:after="0" w:line="19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On May 3, 2021, the FASB issued ASU 2021-04, Earnings Per Share (Topic 260), Debt—Modifications and Extinguishments (Subtopic 470-50), Compensation—Stock Compensation (Topic 718), and Derivatives and Hedging— Contracts in Entity’s Own Equity (Subtopic 815-40): Issuer’s Accounting for Certain Modifications or Exchanges of Freestanding Equity-Classified Written Call Options. This new standard provides clarification and reduces diversity in an issuer’s accounting for modifications or exchanges of freestanding equity-classified written call options (such as warrants) that remain equity classified after modification or exchange. This standard was effective for fiscal years beginning after December 15, 2021, including interim periods within those fiscal years. Under this standard, issuers should apply the new standard prospectively to modifications or exchanges occurring after the effective date of the new standard. The standard was adopted and applied prospectively by the Company as of January 1, 2022, but the adoption and application did not have an impact on the Company's financial statements and disclosures, including interim periods.</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June 2016, the FASB issued ASU No. 2016-13 (“ASU 2016-13”), Financial Instruments — Credit Losses (Topic 326): Measurement of Credit Losses on Financial Instruments. In November 2018, FASB issued ASU No. 2018-19, Codification Improvements to Topic 326: Financial Instruments — Credit Losses. ASU No. 2018-19 amends the scope and transition requirements of ASU 2016-13. ASU 2016-13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ASU 2016-13 became effective for the Company beginning January 1, 2023, and was adopted on a modified retrospective approach. This ASU did not have a material impact on our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 Not Yet Adopted</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the amendments in the ASU are intended to improve reportable segment disclosure requirements, primarily through enhanced disclosures about significant segment expenses that are regularly provided to the chief operating decision maker and included within each reported measure of segment profit or loss.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ASU 2023-07 are effective for all public entities for fiscal years beginning after December 15, 2023, and interim periods within fiscal years beginning after December 15, 2024. Management is currently evaluating the impact of this guidance on our financial statements.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CARES Act</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sought financial assistance under the CARES Act. Certain of the Company’s subsidiaries received $16.4 million from the U.S. Treasury Department (“Treasury”) through the Payroll Support Program (“PSP1”) under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CARES Act, of which $12.7 million was received prior to December 31, 2020 and the remaining amount was received during the first quarter of 2021. As part of the Payroll Support Extension Law (“PSP Extension Law”), the Company entered into an agreement with the U.S. Department of the Treasury (“PSP2”) on March 4, 2021 for the receipt of relief funds of $5.5 million during 2021. Pursuant to the American Rescue Plan Act of 2021 (“ARP”), we entered into an agreement (“PSP3”) with the U.S. Department of the Treasury on April 16, 2021 and received relief funds of an additional $5.5 million, bringing the total to $14.7 million during 2021. No relief funds were received during 2023.</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financial assistance the Company received under the Payroll Support Program, it was required to comply with certain provisions of the CARES Act, all of which have expired as of December 31, 2023, including the requirement that funds provided pursuant to the Payroll Support Program be used exclusively for the continuation of payment of employee wages, salaries and benefits; and the requirement against involuntary terminations and furloughs and reductions in employee pay rates and benefits from the signing date of the Payroll Support Program agreement through September 30, 2021. The agreement required the Company to issue a recall to any employee who was terminated or furloughed between October 1, 2020 and March 4, 2021 and enable such employee to return to employment. In addition, the Company was limited on the payment of certain employee compensation through April 1, 2023. Since inception, we have been in compliance with all of the provisions of the CARES Act.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Significant items subject to such estimates and assumptions include the useful lives of property and equipment, useful lives and residual values of Flight Equipment held for lease, allowances for doubtful accounts and sales returns, the income tax provision, impairment of long-lived assets, valuation of inventory, and valuation and useful lives of intangibles, goodwill and contingencies.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impacted by the general economic conditions of the commercial aviation industry. A decrease in passenger and/or air cargo traffic worldwide could result in strains on the Company’s lessees and cause them to default under their leases with the Company, which could negatively impact cash flows and results of operations. The value of Flight Equipment held for operating leases is subject to fluctuations in the values of commercial aircraft and engines worldwide. A material decrease in aircraft or engine values could have a downward impact on lease rentals and residual values and may require impairments to be taken on such assets. Additionally, impairment charges may be required to reduce the carrying value of inventory.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nature of the Company’s business is capital intensive and demands significant capital requirements. To meet the Company’s current purchase commitments and future aircraft and engine acquisitions, the Company may need to (i) access committed debt facilities, and/or (ii) secure additional financing, and/or (iii) use existing available cash balances.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regulation by various governmental agencies with responsibilities over civil aviation. Increased regulations imposed by organizations such as the FAA may significantly affect industry operations.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conducts business in certain foreign countries, some of which are politically unstable or subject to military or civil conflicts. Consequently, the Company is subject to a variety of risks such as civil strife, political risk, import and export regulations, compliance with foreign laws, treaties, regulations, uncertainties arising from foreign local business practices, difficulty in repossessing Flight Equipment when a lessee defaults, cultural considerations, restriction on fund transfers, and exposure to the FCPA and other anti-bribery laws.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carrying values of accounts receivable, inventory, goodwill, intangible assets, and long-lived assets; the recoverable value of deferred income tax assets, and the sufficiency of accruals and provisions, substantially all of which are sensitive to the above risks and uncertainties.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principally consist of cash and cash equivalents and accounts receivable.</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two customers accounted for 25% of total revenue. During the years ended December 31, 2022 and 2021, one customer accounted for 19% and 14% of total revenue, respectively, which was related to nonrecurring transactions with different customers that was collected during the respective years. One customer made up 20% of our trade receivable balance as of December 31, 2023. No customer made up more than 10% of our trade receivable balance as of December 31,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cash and cash equivalent balances with high-quality financial institutions, which at times exceed the Federal Deposit Insurance Corporation insurance limits. While the Company monitors daily the cash balances in its operating accounts and adjusts the balances as appropriate, these balances could be impacted if one or more of the financial institutions with which the Company deposits fails or is subject to other adverse conditions in the financial or credit markets. To date, the Company has experienced no loss or lack of access to its invested cash or cash equivalents; however, no assurance can be provided that access to invested cash and cash equivalents will not be impacted by adverse conditions in the financial and credit markets.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Consolidated Balance Sheets. Changes in contract assets primarily results from the timing difference between our performance of services. Contract liabilities are reported as deferred revenue on our Consolidated Balance Sheets and amounted to $1.4 million as of December 31, 2022, of which $1.1 million was related to contract liabilities for services to be performed. For the year ended December 31, 2023, we recognized as revenue the entire opening balance of our contract liabilities as the timing between customer payments and our performance of the services is a short period of time and generally no longer than six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TechOps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USM</w:t>
            </w:r>
          </w:p>
        </w:tc>
        <w:tc>
          <w:tcPr>
            <w:tcW w:w="240" w:type="dxa"/>
            <w:vAlign w:val="bottom"/>
            <w:tcBorders>
              <w:top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Used serviceable materials</w:t>
            </w:r>
          </w:p>
        </w:tc>
        <w:tc>
          <w:tcPr>
            <w:tcW w:w="29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2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186,845</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2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(177,770)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9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151,398</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90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2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“Intangibles—Goodwill and Other”,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customer relationships and FAA certifications. The assumptions we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1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quantitative impairment analysis as of July 1, 2023 and 2022 on the indefinite lived intangible assets and concluded there were no impairments. The Company performed a quantitative impairment analysis as of October 1, 2023 and a qualitative impairment analysis as of October 1, 2022 on the goodwill for the Asset Management Solutions and TechOps segment, and concluded there was no impairment.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with definite lives are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3"/>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tcBorders>
              <w:bottom w:val="single" w:sz="8" w:color="CCEEFF"/>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w:t>
            </w: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11,656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5"/>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2,126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estimated aggregate amount of amortization expense for intangible assets in each fiscal year from 2024 through 2028 is $2.1 million. Accumulated amortization amounted to $9.3 and $7.2 million as of December 31, 2023 and December 31, 2022,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has been no goodwill activity for the years ended December 31, 2023 and 2022.</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 No triggering events have been identified for the periods reported.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60" w:type="dxa"/>
            <w:vAlign w:val="bottom"/>
            <w:gridSpan w:val="2"/>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7 - 15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1360" w:type="dxa"/>
            <w:vAlign w:val="bottom"/>
            <w:gridSpan w:val="2"/>
          </w:tcPr>
          <w:p>
            <w:pPr>
              <w:jc w:val="center"/>
              <w:ind w:left="594"/>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1360" w:type="dxa"/>
            <w:vAlign w:val="bottom"/>
            <w:gridSpan w:val="2"/>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6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1360" w:type="dxa"/>
            <w:vAlign w:val="bottom"/>
            <w:gridSpan w:val="2"/>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1360" w:type="dxa"/>
            <w:vAlign w:val="bottom"/>
            <w:tcBorders>
              <w:bottom w:val="single" w:sz="8" w:color="CCEEFF"/>
            </w:tcBorders>
            <w:gridSpan w:val="2"/>
          </w:tcPr>
          <w:p>
            <w:pPr>
              <w:jc w:val="center"/>
              <w:ind w:left="594"/>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6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was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AIRCRAFT AND ENGINES HELD FOR LEASE AND LEASE RENTAL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operating leases, net, consists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(31,661)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(52,614)</w:t>
            </w:r>
          </w:p>
        </w:tc>
      </w:tr>
      <w:tr>
        <w:trPr>
          <w:trHeight w:val="210"/>
        </w:trPr>
        <w:tc>
          <w:tcPr>
            <w:tcW w:w="46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record an impairment of leased assets during the years ended December 31, 2023 and 2021, respectively. The Company recorded an impairment $0.9 million for the year ended December 31, 2022, and is included in cost of leasing in the Consolidated Statements of Operations.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Total depreciation expense included in cost of leasing in the Consolidated Statements of Operations is as follows (in thousands):</w:t>
      </w:r>
    </w:p>
    <w:p>
      <w:pPr>
        <w:spacing w:after="0" w:line="16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7620</wp:posOffset>
            </wp:positionV>
            <wp:extent cx="1868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5400"/>
        <w:spacing w:after="0"/>
        <w:tabs>
          <w:tab w:leader="none" w:pos="6420" w:val="left"/>
          <w:tab w:leader="none" w:pos="74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tabs>
          <w:tab w:leader="none" w:pos="5100" w:val="left"/>
          <w:tab w:leader="none" w:pos="5500" w:val="left"/>
          <w:tab w:leader="none" w:pos="6120" w:val="left"/>
          <w:tab w:leader="none" w:pos="6520" w:val="left"/>
          <w:tab w:leader="none" w:pos="7160" w:val="left"/>
          <w:tab w:leader="none" w:pos="7580" w:val="left"/>
        </w:tabs>
        <w:rPr>
          <w:sz w:val="20"/>
          <w:szCs w:val="20"/>
          <w:color w:val="auto"/>
        </w:rPr>
      </w:pPr>
      <w:r>
        <w:rPr>
          <w:rFonts w:ascii="Times New Roman" w:cs="Times New Roman" w:eastAsia="Times New Roman" w:hAnsi="Times New Roman"/>
          <w:sz w:val="18"/>
          <w:szCs w:val="18"/>
          <w:b w:val="1"/>
          <w:bCs w:val="1"/>
          <w:color w:val="auto"/>
        </w:rPr>
        <w:t>Depreciation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4,597</w:t>
        <w:tab/>
        <w:t>$</w:t>
      </w:r>
      <w:r>
        <w:rPr>
          <w:sz w:val="20"/>
          <w:szCs w:val="20"/>
          <w:color w:val="auto"/>
        </w:rPr>
        <w:tab/>
      </w:r>
      <w:r>
        <w:rPr>
          <w:rFonts w:ascii="Times New Roman" w:cs="Times New Roman" w:eastAsia="Times New Roman" w:hAnsi="Times New Roman"/>
          <w:sz w:val="18"/>
          <w:szCs w:val="18"/>
          <w:color w:val="auto"/>
        </w:rPr>
        <w:t>6,606</w:t>
        <w:tab/>
        <w:t>$</w:t>
      </w:r>
      <w:r>
        <w:rPr>
          <w:sz w:val="20"/>
          <w:szCs w:val="20"/>
          <w:color w:val="auto"/>
        </w:rPr>
        <w:tab/>
      </w:r>
      <w:r>
        <w:rPr>
          <w:rFonts w:ascii="Times New Roman" w:cs="Times New Roman" w:eastAsia="Times New Roman" w:hAnsi="Times New Roman"/>
          <w:sz w:val="17"/>
          <w:szCs w:val="17"/>
          <w:color w:val="auto"/>
        </w:rPr>
        <w:t>8,869</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Contingent rental fees recognized as revenues related to supplemental rent were as follows (in thousands):</w:t>
      </w:r>
    </w:p>
    <w:p>
      <w:pPr>
        <w:spacing w:after="0" w:line="232"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7620</wp:posOffset>
            </wp:positionV>
            <wp:extent cx="18688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5400"/>
        <w:spacing w:after="0"/>
        <w:tabs>
          <w:tab w:leader="none" w:pos="6420" w:val="left"/>
          <w:tab w:leader="none" w:pos="74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tabs>
          <w:tab w:leader="none" w:pos="5100" w:val="left"/>
          <w:tab w:leader="none" w:pos="5500" w:val="left"/>
          <w:tab w:leader="none" w:pos="6120" w:val="left"/>
          <w:tab w:leader="none" w:pos="6440" w:val="left"/>
          <w:tab w:leader="none" w:pos="7160" w:val="left"/>
          <w:tab w:leader="none" w:pos="7580" w:val="left"/>
        </w:tabs>
        <w:rPr>
          <w:sz w:val="20"/>
          <w:szCs w:val="20"/>
          <w:color w:val="auto"/>
        </w:rPr>
      </w:pPr>
      <w:r>
        <w:rPr>
          <w:rFonts w:ascii="Times New Roman" w:cs="Times New Roman" w:eastAsia="Times New Roman" w:hAnsi="Times New Roman"/>
          <w:sz w:val="18"/>
          <w:szCs w:val="18"/>
          <w:b w:val="1"/>
          <w:bCs w:val="1"/>
          <w:color w:val="auto"/>
        </w:rPr>
        <w:t>Contingent rental fees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7,693</w:t>
        <w:tab/>
        <w:t>$</w:t>
        <w:tab/>
        <w:t>12,776</w:t>
        <w:tab/>
        <w:t>$</w:t>
      </w:r>
      <w:r>
        <w:rPr>
          <w:sz w:val="20"/>
          <w:szCs w:val="20"/>
          <w:color w:val="auto"/>
        </w:rPr>
        <w:tab/>
      </w:r>
      <w:r>
        <w:rPr>
          <w:rFonts w:ascii="Times New Roman" w:cs="Times New Roman" w:eastAsia="Times New Roman" w:hAnsi="Times New Roman"/>
          <w:sz w:val="17"/>
          <w:szCs w:val="17"/>
          <w:color w:val="auto"/>
        </w:rPr>
        <w:t>8,218</w:t>
      </w:r>
    </w:p>
    <w:p>
      <w:pPr>
        <w:spacing w:after="0" w:line="205"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operating lease agreements for Flight Equipment on lease expire over the next two to nine months. The minimum future lease rentals contracted to be received under these existing operating leases of Flight Equipment at December 31, 2023 are $5.1 million, all expected to be received in 2024. These amounts are based upon the assumption that Flight Equipment under operating leases will remain on lease for the length of time specified by the respective lease agreements.</w:t>
      </w: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FAIR VALUE MEASUREMENTS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62"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Observable inputs such as quoted prices in active markets for identical assets or liabilities.</w:t>
      </w:r>
    </w:p>
    <w:p>
      <w:pPr>
        <w:spacing w:after="0" w:line="225" w:lineRule="exact"/>
        <w:rPr>
          <w:rFonts w:ascii="Times New Roman" w:cs="Times New Roman" w:eastAsia="Times New Roman" w:hAnsi="Times New Roman"/>
          <w:sz w:val="18"/>
          <w:szCs w:val="18"/>
          <w:color w:val="231F20"/>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Inputs other than quoted prices included within Level 1 that are observable, either directly or indirectly, such as quoted prices for similar assets or liabilities or market corroborated inputs.</w:t>
      </w:r>
    </w:p>
    <w:p>
      <w:pPr>
        <w:spacing w:after="0" w:line="161" w:lineRule="exact"/>
        <w:rPr>
          <w:rFonts w:ascii="Times New Roman" w:cs="Times New Roman" w:eastAsia="Times New Roman" w:hAnsi="Times New Roman"/>
          <w:sz w:val="18"/>
          <w:szCs w:val="18"/>
          <w:color w:val="231F20"/>
        </w:rPr>
      </w:pPr>
    </w:p>
    <w:p>
      <w:pPr>
        <w:jc w:val="both"/>
        <w:ind w:left="1040" w:right="79" w:hanging="315"/>
        <w:spacing w:after="0" w:line="266" w:lineRule="auto"/>
        <w:tabs>
          <w:tab w:leader="none" w:pos="10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Unobservable inputs for which there is little or no market data and which require the Company to develop our own assumptions about how market participants price the asset or liability. The valuation techniques that may be used to measure fair value are as follows:</w:t>
      </w:r>
    </w:p>
    <w:p>
      <w:pPr>
        <w:spacing w:after="0" w:line="175"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approach–Uses prices and other relevant information generated by market transactions involving identical or comparable assets or liabilities.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Income approach–Uses valuation techniques to convert future amounts to a single present amount based on current market expectation about those future amounts.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82" w:lineRule="auto"/>
        <w:tabs>
          <w:tab w:leader="none" w:pos="138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 approach–Based on the amount that currently would be required to replace the service capacity of an asset (replacement cost).</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would measure the fair value of certain assets and liabilities on a nonrecurring basis, when U.S. GAAP requires the application of fair value, including events or changes in circumstances that indicate that the carrying amounts of assets may not be recoverable. Assets subject to these measurements include intangible assets acquired in business combinations.</w:t>
      </w:r>
    </w:p>
    <w:p>
      <w:pPr>
        <w:spacing w:after="0" w:line="18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The Company’s financial instruments, other than cash, consist principally of accounts receivable and accounts payable. The fair value of such approximates the carrying value of these financial instruments because of their short-term nature.</w:t>
      </w:r>
    </w:p>
    <w:p>
      <w:pPr>
        <w:spacing w:after="0" w:line="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Agreement (as defined in Note L – Financing Arrangements) approximate fair value due to the variable interest rate on the facility and the recent amendment during the year. The Company’s borrowings under the Revolving Credit Agreement are carried at historical cost and adjusted for principal payments.</w:t>
      </w:r>
    </w:p>
    <w:p>
      <w:pPr>
        <w:spacing w:after="0" w:line="18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Equipment Loan (as defined in Note L – Financing Arrangements) approximate fair value due to the variable interest rate on the loan and its origination during the year ended December 31, 2023. The Company’s borrowings under the Equipment Loan are carried at historical cost and adjusted for principal payments.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WARRANT LIABILITY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Warrants to purchase a total of 623,834 shares of the Company’s common stock were outstanding as of December 31, 2023 and 2022, respectively. 750,000 warrants were issued to founders in a private placement (the “Private Warrants”), and 17,250,000 warrants were public warrants (the “Public Warrants”) that were exercisable immediately following the Closing.</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Each of the Company’s Public Warrants entitled the registered holder to purchase one share of the Company’s common stock at a price of $11.50 per share. On November 29, 2021, the Company provided notice to holders of all of the Public Warrants that the Company would be redeeming all of the Public Warrants for a redemption price of $0.01 per Public Warrant, and on December 29, 2021, such redemption was completed and the Public Warrants ceased trading on Nasdaq.</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Each of the Private Warrants entitles the registered holder to purchase one share of the Company’s common stock at a price of $11.50 per share, subject to adjustment. During 2022, a private warrant holder initiated a cashless exercise of 126,166 warrants for the purchase of shares of common stock at an exercise price of $11.50 per share (remaining term on exercised warrants at December 31, 2023 was 2.0 years) and we issued 47,867 shares of common stock based on the fair value at the date of exercise of $18.5306 per share. The remaining Private Warrants will expire at 5:00 p.m., New York City time, on December 22, 2025, or earlier upon redemption or liquidation, as applicable. 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Company’s Own Stock.” The Company classifies the Private Warrants as a liability at their fair value subject to re-measurement at each balance sheet date and adjusted at each reporting period until exercised or expired, and any change in fair value is recognized in the Company's Consolidated Statements of Operations. The fair value of the Private Warrants as of December 31, 2021 was determined using the market price of the Company’s public warrants adjusted for their lack of liquidity. Effective December 29, 2021 all public warrants were redeemed on a cashless basis and ceased trading on Nasdaq. As a result, the Black-Scholes option pricing model was adopted to determine the fair value of the Private Warrants. The following table represents the assumptions for the Black-Scholes option-pricing model used in determining the fair value of the Private Warrants as of December 31, 2023 and 2022:</w:t>
      </w:r>
    </w:p>
    <w:p>
      <w:pPr>
        <w:spacing w:after="0" w:line="293"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53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41.66%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FINANCING ARRANGEMENTS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Outstanding debt obligations as of December 31, 2023 and 2022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Synovus Property and Equipment Revolving Term Loan</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and 2022, total deferred financing costs were $1.5 and $0.5 million, respectively. Amortized debt issuance costs are recorded in interest expense through maturity of the related debt using the straight-line method, which approximates the effective interest method.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p>
      <w:pPr>
        <w:spacing w:after="0" w:line="232"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7620</wp:posOffset>
            </wp:positionV>
            <wp:extent cx="1517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ind w:left="5860"/>
        <w:spacing w:after="0"/>
        <w:tabs>
          <w:tab w:leader="none" w:pos="6640" w:val="left"/>
          <w:tab w:leader="none" w:pos="75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940"/>
        <w:spacing w:after="0"/>
        <w:tabs>
          <w:tab w:leader="none" w:pos="5660" w:val="left"/>
          <w:tab w:leader="none" w:pos="5980" w:val="left"/>
          <w:tab w:leader="none" w:pos="6460" w:val="left"/>
          <w:tab w:leader="none" w:pos="6800" w:val="left"/>
          <w:tab w:leader="none" w:pos="7280" w:val="left"/>
          <w:tab w:leader="none" w:pos="7720" w:val="left"/>
        </w:tabs>
        <w:rPr>
          <w:sz w:val="20"/>
          <w:szCs w:val="20"/>
          <w:color w:val="auto"/>
        </w:rPr>
      </w:pPr>
      <w:r>
        <w:rPr>
          <w:rFonts w:ascii="Times New Roman" w:cs="Times New Roman" w:eastAsia="Times New Roman" w:hAnsi="Times New Roman"/>
          <w:sz w:val="18"/>
          <w:szCs w:val="18"/>
          <w:b w:val="1"/>
          <w:bCs w:val="1"/>
          <w:color w:val="auto"/>
        </w:rPr>
        <w:t>Amortization expense</w:t>
      </w:r>
      <w:r>
        <w:rPr>
          <w:sz w:val="20"/>
          <w:szCs w:val="20"/>
          <w:color w:val="auto"/>
        </w:rPr>
        <w:tab/>
      </w:r>
      <w:r>
        <w:rPr>
          <w:rFonts w:ascii="Times New Roman" w:cs="Times New Roman" w:eastAsia="Times New Roman" w:hAnsi="Times New Roman"/>
          <w:sz w:val="18"/>
          <w:szCs w:val="18"/>
          <w:color w:val="auto"/>
        </w:rPr>
        <w:t>$</w:t>
        <w:tab/>
        <w:t>400</w:t>
        <w:tab/>
        <w:t>$</w:t>
        <w:tab/>
        <w:t>455</w:t>
        <w:tab/>
        <w:t>$</w:t>
      </w:r>
      <w:r>
        <w:rPr>
          <w:sz w:val="20"/>
          <w:szCs w:val="20"/>
          <w:color w:val="auto"/>
        </w:rPr>
        <w:tab/>
      </w:r>
      <w:r>
        <w:rPr>
          <w:rFonts w:ascii="Times New Roman" w:cs="Times New Roman" w:eastAsia="Times New Roman" w:hAnsi="Times New Roman"/>
          <w:sz w:val="17"/>
          <w:szCs w:val="17"/>
          <w:color w:val="auto"/>
        </w:rPr>
        <w:t>494</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Facility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July 20, 2018, AerSale Inc. and other subsidiary borrowers entered in a secured amended and restated Revolving Credit Agreement (as amended, the “Revolving Credit Agreement”). The Revolving Credit Agreement provided for a $110.0 million aggregate amount of revolver commitments subject to borrowing base limitations and a maturity date of July 20, 2021. The Revolving Credit Agreement included a $10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March 9, 2023, we amended the Revolving Credit Agreement to replace the benchmark rate from LIBOR to Secured Overnight Financing Rate (“SOFR”).</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July 25, 2023, the Revolving Credit Agreement was amended to increase the maximum commitments thereunder to $180.0 million aggregate amount, expandable to $200.0 million, subject to conditions and the availability of lender commitments and borrowing base limitations, and the maturity date was extended to July 24, 2028.</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outstanding balance under the Revolving Credit Agreement was $29.0 million and at December 31, 2023 the Company had $131.0 million of availability, subject to borrowing base limitations.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2022, there was no outstanding balance under the Revolving Credit Agreement.</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AerSale, Inc. under the Revolving Credit Agreement are guaranteed by the Company, and other subsidiaries of AerSale, Inc. may be designated as borrowers on a joint and several basis. Such obligations are also secured by substantially all of the assets of the Company.</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SOFR plus a margin of 2.75%. The interest rate as of December 31, 2023 was 7.69%.</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prior to March 9, 2023, was a floating rate of interest per annum of LIBOR plus a margin of 3.5%. The interest rate as of December 31, 2022 was 9.50%.</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on the Revolving Credit Agreement was as follows (in thousands):</w:t>
      </w:r>
    </w:p>
    <w:p>
      <w:pPr>
        <w:spacing w:after="0" w:line="2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wp:posOffset>
            </wp:positionV>
            <wp:extent cx="1885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240"/>
        <w:spacing w:after="0"/>
        <w:tabs>
          <w:tab w:leader="none" w:pos="7220" w:val="left"/>
          <w:tab w:leader="none" w:pos="83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60"/>
        <w:spacing w:after="0"/>
        <w:tabs>
          <w:tab w:leader="none" w:pos="5960" w:val="left"/>
          <w:tab w:leader="none" w:pos="6460" w:val="left"/>
          <w:tab w:leader="none" w:pos="6960" w:val="left"/>
          <w:tab w:leader="none" w:pos="7640" w:val="left"/>
          <w:tab w:leader="none" w:pos="7960" w:val="left"/>
          <w:tab w:leader="none" w:pos="8780" w:val="left"/>
        </w:tabs>
        <w:rPr>
          <w:sz w:val="20"/>
          <w:szCs w:val="20"/>
          <w:color w:val="auto"/>
        </w:rPr>
      </w:pPr>
      <w:r>
        <w:rPr>
          <w:rFonts w:ascii="Times New Roman" w:cs="Times New Roman" w:eastAsia="Times New Roman" w:hAnsi="Times New Roman"/>
          <w:sz w:val="18"/>
          <w:szCs w:val="18"/>
          <w:b w:val="1"/>
          <w:bCs w:val="1"/>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733</w:t>
        <w:tab/>
        <w:t>$</w:t>
      </w:r>
      <w:r>
        <w:rPr>
          <w:sz w:val="20"/>
          <w:szCs w:val="20"/>
          <w:color w:val="auto"/>
        </w:rPr>
        <w:tab/>
      </w:r>
      <w:r>
        <w:rPr>
          <w:rFonts w:ascii="Times New Roman" w:cs="Times New Roman" w:eastAsia="Times New Roman" w:hAnsi="Times New Roman"/>
          <w:sz w:val="18"/>
          <w:szCs w:val="18"/>
          <w:color w:val="auto"/>
        </w:rPr>
        <w:t>2</w:t>
        <w:tab/>
        <w:t>$</w:t>
      </w:r>
      <w:r>
        <w:rPr>
          <w:sz w:val="20"/>
          <w:szCs w:val="20"/>
          <w:color w:val="auto"/>
        </w:rPr>
        <w:tab/>
      </w:r>
      <w:r>
        <w:rPr>
          <w:rFonts w:ascii="Times New Roman" w:cs="Times New Roman" w:eastAsia="Times New Roman" w:hAnsi="Times New Roman"/>
          <w:sz w:val="18"/>
          <w:szCs w:val="18"/>
          <w:color w:val="auto"/>
        </w:rPr>
        <w:t>4</w:t>
      </w:r>
    </w:p>
    <w:p>
      <w:pPr>
        <w:spacing w:after="0" w:line="20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December 31, 2023 and 2022.</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Synovus Property and Equipment Revolving Term Loan</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Equipment Loan bears interest at a rate per annum equal to one-month SOFR plus 3.50%, which will be adjusted monthly. The effective rate on this facility as of December 31, 2023 was 8.84%. Interest expense on the Equipment Loan for the year ended December 31, 2023 was $0.4 million. Maturities of the Equipment Loan as of December 31, 2023 are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86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0"/>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Equipment Loan is subject to ongoing compliance by the Company in the form of various customary affirmative and negative covenants, as well as certain financial covenants. The Company was in compliance with these covenants as of December 31, 2023.</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(benefit) expense consists of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2022:</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gridSpan w:val="2"/>
            <w:vMerge w:val="restart"/>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Tax Rate Reconciliation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on pre-tax income differs from the amount computed by applying the U.S. federal statutory income tax rate of 21.0% for the years ended December 31, 2023, 2022 and 2021 due to the following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 at the federal statutory rate</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(1,613)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$ 12,155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$ 10,033</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taxes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Permanent differences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valuation allowance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Return to provision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FDII deduction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R&amp;D credit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$ 14,021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$ 11,659</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Significant Components of Deferred Taxes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reflect the net effect of temporary differences between the carrying amounts of assets and liabilities for financial reporting purposes and the amounts used for income tax purposes. The tax effects of temporary differences that give rise to deferred tax assets and deferred tax liabilities as of December 31, 2023 and 2022 are as follows (in thousands):</w:t>
      </w:r>
    </w:p>
    <w:p>
      <w:pPr>
        <w:spacing w:after="0" w:line="18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operating losses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 tax credit carryforwards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 basis differences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Maintenance deposit payments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Start up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Outside basis difference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Lease obligations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R&amp;D credit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9"/>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Valuation Allowances</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income taxes, net</w:t>
            </w: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deferred tax assets are adjusted by a valuation allowance if, based on the weight of available evidence, it is more likely than not that a portion or all the deferred assets will not be realized. The Company has evaluated the positive and negative evidence bearing upon its ability to realize the deferred tax assets. After considering all of the evidence, both positive and negative, it was determined that it is more likely than not, that the benefit from an outside basis difference of an investment acquired in 2022 will not be realized. Accordingly, the Company has recorded a valuation allowance of $1.3 million on the deferred tax assets related to the outside basis difference as of December 31, 2023.</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2023 and December 31, 2022, the Company had net operating losses available for carry-forward for Federal income tax purposes of approximately $7.8 million and $0.4 million, respectively. These net operating loss carryforwards acquired prior to 2023 will expire on various dates through 2034. Utilization of the net operating loss carryforwards as of December 31, 2023 are subject to annual limitation under Sec. 382 of the Internal Revenue Code. A deferred tax asset has been recorded only for those carryforwards that the Company expects to utilize prior to expiration.</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various state jurisdictions, and in Ireland. Tax years beginning in 2019 through 2022 are open for examination by the U.S. Internal Revenue Service and tax years beginning in 2018 through 2022 are open for examination by various state taxing jurisdictions in which the Company is subject to tax. Tax years beginning in 2018 through 2022 are open for examination by the Irish taxing authorities.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ASC 740, Income Taxes, provides that a tax benefit from an uncertain tax position may be recognized when it is more likely than not that the position will be sustained upon examination, including resolutions of any related appeals or litigation processes, based on the technical merits. ASC 740 also provides guidance on measurement, derecognition,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classification, interest and penalties, accounting in interim periods, and disclosure and transition. As of December 31, 2023 and 2022, there was no reserve for uncertain tax positions.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N - EARNINGS PER SHARE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for the years ended December 31, (in thousands, except share and per share data):</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change in FV of warrants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attributable to common</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for EPS</w:t>
            </w: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basic</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51,291,424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51,568,436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43,193,995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exercise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3,070,762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1,577,062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issued under the Employee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Purchase Plan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Weighted-average number of shares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diluted</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51,457,821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53,145,639</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Shares/units excluded from earnings per 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dilutive: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exercise of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Warrants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O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common stock consist of $0.0001 par value, 200,000,000 shares authorized, of which 52,954,430 and 51,189,461 shares were issued and outstanding as of December 31, 2023 and 2022, respectively.</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Effective November 8, 2022, the Board of Directors approved the repurchase, directly from selling stockholders, 1,500,000 shares of the Company’s common stock, par value $0.0001 per share, at a price of $14.8025 per share for a total of $22,203,750.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Earn-Out Shares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Upon consummation of the Merger, the pre-closing holders of AerSale Aviation’s common stock and the holders of in-the-money stock appreciation rights (“SARs”) received a contingent right to receive up to 3,000,000 additional shares of the Company’s common stock. Additionally, certain pre-closing holders of AerSale Aviation’s common stock received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contingent right to receive 746,876 shares of the Company’s common stock, in the aggregate (the ‘‘Earn-out Shares’’), subject to the following:</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Prior to the fifth anniversary of the Merger, if the closing price per share of the Company’s common stock is greater than $13.50 for any period of 20 trading days out of 30 consecutive trading days, the holders will be entitled to receive 50% of the Earn-out Shares in the aggregate (“Minimum Target Earn-out Shares”); and</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Prior to the fifth anniversary of the Merger, if the closing price per share of the Company’s common stock is greater than $15.00 for any period of 20 trading days out of 30 consecutive trading days, the holders will be entitled to receive all of the remaining Earn-out Shares not yet issued in the aggregate.</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February 8, 2021, the contingency event related to the Minimum Target Earn-out Shares was met and 1,855,634 shares were issued. Effective October 22, 2021, the contingency event related to the Maximum Target Earn-out Shares was met and 1,854,169 shares were issued. The remaining shares pursuant to the contingent rights were withheld to cover employee taxes.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determined the Earn-out Shares to be classified as equity under ASC Topic 815, “Accounting for Derivative Financial Instruments Indexed to, and Potentially Settled in a Company’s Own Stock” as the contingent right is indexed to the Company’s stock and accordingly, the accrual of the Earn-Out shares had no impact on our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Upon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The Unvested Founder Shares will also vest upon the occurrence of a Liquidity Event on or prior to the fifth anniversary of the date of the Amended and Restated Founder Shares Agreement, solely to the extent the Liquidity Event Consideration (as defined in the Merger Agreement) is greater than (i) $13.50, in which case half of the Unvested Founder Shares which will vest, or (ii) $15.00, in which case the other half of the Unvested Founder Shares will also vest.</w:t>
      </w:r>
    </w:p>
    <w:p>
      <w:pPr>
        <w:spacing w:after="0" w:line="17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Effective February 8, 2021, the contingency event related to the Minimum Target was met and half of the Unvested Founder Shares vested. Effective October 22, 2021, the contingent event related to the Maximum Target was met and the other half of the Unvested Founder Shares vested.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Public Warrants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29, 2021, the Company provided notice to the then holders of all of our 16,442,886 outstanding Public Warrants to purchase shares of our common stock that were issued under the warrant agreement as part of the units sold in our initial public offering, that we would be redeeming all of the Public Warrants for a redemption price of $0.01 per Public Warrant on December 29, 2021 (the “Redemption”). In accordance with the warrant agreement, following delivery of notice of the Redemption, all of our Public Warrants could only be exercised on a cashless basis in lieu of being redeemed. On December 29, 2021, we completed the Redemption and the Public Warrants ceased trading on Nasdaq. A total of 16,357,872 Public Warrants were exercised on a cashless basis in lieu of being redeemed, resulting in net issuances of 6,079,966 shares of our common stock under such Public Warrants. The remaining 85,014 unredeemed Public Warrants were redeemed for a redemption price of $0.01 per Public Warrant effective January 2022. The Private Warrants that are still held by the initial holders or their permitted transferees were not subject to the Redemption.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6,200,000 shares of common stock issuable under the Plan. The 2020 Plan authorizes discretionary grants of incentive stock options to employees of the Company and its qualifying subsidiaries. The 2020 Plan also authorizes discretionary grants of non-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 Approximately 2,996,618 shares of common stock remain available for future grants.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year ended December 31, 2023 and 2022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390,887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(40,516)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Vested </w:t>
            </w:r>
            <w:r>
              <w:rPr>
                <w:rFonts w:ascii="Times New Roman" w:cs="Times New Roman" w:eastAsia="Times New Roman" w:hAnsi="Times New Roman"/>
                <w:sz w:val="25"/>
                <w:szCs w:val="25"/>
                <w:b w:val="1"/>
                <w:bCs w:val="1"/>
                <w:color w:val="auto"/>
                <w:vertAlign w:val="superscript"/>
              </w:rPr>
              <w:t>(1)</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(1,192,355)</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1,669,300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278,473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(15,080)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Vested </w:t>
            </w:r>
            <w:r>
              <w:rPr>
                <w:rFonts w:ascii="Times New Roman" w:cs="Times New Roman" w:eastAsia="Times New Roman" w:hAnsi="Times New Roman"/>
                <w:sz w:val="26"/>
                <w:szCs w:val="26"/>
                <w:b w:val="1"/>
                <w:bCs w:val="1"/>
                <w:color w:val="auto"/>
                <w:vertAlign w:val="superscript"/>
              </w:rPr>
              <w:t>(2)</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(558,310)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720" w:right="399" w:hanging="319"/>
        <w:spacing w:after="0" w:line="220" w:lineRule="auto"/>
        <w:tabs>
          <w:tab w:leader="none" w:pos="7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1,063,333 performance units that vested at the 200% vesting target effective December 22, 2023, for which 526,888 shares of common stock underlying vested RSUs were withheld to cover tax obligations. The shares withheld are again available for issuance under the plan.</w:t>
      </w:r>
    </w:p>
    <w:p>
      <w:pPr>
        <w:spacing w:after="0" w:line="2" w:lineRule="exact"/>
        <w:rPr>
          <w:rFonts w:ascii="Times New Roman" w:cs="Times New Roman" w:eastAsia="Times New Roman" w:hAnsi="Times New Roman"/>
          <w:sz w:val="27"/>
          <w:szCs w:val="27"/>
          <w:color w:val="auto"/>
          <w:vertAlign w:val="superscript"/>
        </w:rPr>
      </w:pPr>
    </w:p>
    <w:p>
      <w:pPr>
        <w:ind w:left="720" w:right="459" w:hanging="319"/>
        <w:spacing w:after="0" w:line="214" w:lineRule="auto"/>
        <w:tabs>
          <w:tab w:leader="none" w:pos="7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531,667 performance units that vested at the 200% vesting target effective December 22, 2022, for which 167,007 shares of common stock underlying vested RSUs were withheld to cover tax obligations. The shares withheld are again available for issuance under the plan.</w:t>
      </w:r>
    </w:p>
    <w:p>
      <w:pPr>
        <w:spacing w:after="0" w:line="20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restricted stock units include 10,403 performance-based awards that have vesting provisions subject to both time vesting and the achievement of certain performance milestones at 100% and 200% vesting targets, while the remaining 521,996 awards vest over a period ranging from one to three years.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share-based compensation expense for certain performance-based awards of $7.9 million and $14.2 million, respectively, given that the achievement of the performance milestones at the 200% vesting target have been deemed probable for accounting purposes.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also maintains a 2020 Employee Stock Purchase Plan (the “ESPP”) and has registered 500,000 shares of common stock issuable under the ESPP. For the years ended December 31, 2023 and 2022, the Company issued 45,755 and 46,726 shares, respectively, pursuant to the ESPP and approximately 407,519 shares remain available for future issuance.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P - BUSINESS SEGMENTS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Consistent with how our chief operating decision maker (Chairman and Chief Executive Officer) evaluates performance and utilizes gross profit as a profitability measure, we report our activities in two business segments:</w:t>
      </w:r>
    </w:p>
    <w:p>
      <w:pPr>
        <w:spacing w:after="0" w:line="162" w:lineRule="exact"/>
        <w:rPr>
          <w:sz w:val="20"/>
          <w:szCs w:val="20"/>
          <w:color w:val="auto"/>
        </w:rPr>
      </w:pPr>
    </w:p>
    <w:p>
      <w:pPr>
        <w:ind w:left="1380" w:right="79" w:hanging="331"/>
        <w:spacing w:after="0" w:line="282" w:lineRule="auto"/>
        <w:tabs>
          <w:tab w:leader="none" w:pos="13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Asset Management Solutions-comprised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TechOps - comprised of MRO activities; and product sales of internally developed engineered solutions and other serviceable products.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provides short-term and long-term leasing solutions of Flight Equipment to passenger and cargo operators worldwide. Assets considered to be at or near the end of their useful lives, supplied by our leasing portfolio or acquisitions, are analyzed for return maximization to assess whether they will be sold as whole assets or disassembled and sold as individual spare parts and components.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Periodically, our TechOps division will engage in the repair and sale of used serviceable materials through their ability to overhaul existing inventory.</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for the segments are the same as those described in Note B. Gross Profit is calculated by subtracting cost of sales from revenues.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interest income, other income, net, unrealized loss on investment, change in fair value of warrant liability, and income tax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center"/>
              <w:ind w:right="1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101,511</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87,461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176,096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144,549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277,607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99,899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130,937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108,427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408,544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gridSpan w:val="1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36,156</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59,389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118,231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89,546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29,846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151,394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$ 372,326</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$ 233,034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17,729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157,139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3"/>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$ 553,938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$ 531,579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6,043</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7,807</w:t>
            </w: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3,549</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10,459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10,984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8,288</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9,206</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1,665</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11,359</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15,595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gross profit to net income from continuing operations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thousands):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119,392</w:t>
            </w: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(77,498)</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Payroll support program proceeds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w:t>
            </w: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 loss on investment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0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 provision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47,774</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based on the customers’ geographic location and long-lived assets located in the United States, our country of domicile, for the years ended December 31,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$145,076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$169,878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189,427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238,666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206,526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334,503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408,544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340,437</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7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7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Company had two customers from which revenues generated exceeded 10% of total sales. Total sales to these two customers amounted to $82.2 million, of which $35.7 million was included in TechOps segment and $46.5 million was included in the Asset Management Solutions segment. As of December 31, 2022, the Company had one customer from which revenues generated exceeded 10% of total sales. Total sales to this customer amounted to $77.2 million, which was included in the Asset Management Solutions segment.</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Intersegment sales includes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is as follows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21,359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22,783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21,932</w:t>
            </w:r>
          </w:p>
        </w:tc>
      </w:tr>
      <w:tr>
        <w:trPr>
          <w:trHeight w:val="210"/>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27,761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28,754</w:t>
            </w: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Q</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facilities, offices, and equipment. The Company evaluates whether a contractual arrangement that provides it with control over the use of an asset is a lease. The ROU asset and related operating lease liabilities are recognized at the lease commencement date based on the present value of lease payments over the term of the lease. The implicit rate of our lease arrangements is not readily determinable nor is it disclosed by our lessors; therefore, the Company uses its incremental borrowing rate based on information available at the lease commencement date to discount the lease payments. The Company classifies a lease as operating or finance using the classification criteria set forth in ASC Topic 842. Some of our leases are non-cancellable and may include renewal or termination options. Renewal or termination options that are reasonably certain to be exercised are included in the determination of the term of a lease.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lease agreements typically do not contain any significant residual value guarantees or restrictive covenants, and may include variable lease payments related to escalation clauses based on consumer price index rates, as well as maintenance and other services. Variable lease payments that depend on an index or rate are included in the determination of ROU asset and lease liabilities using the index or rate at the lease commencement date, whereas variable lease payments that do not depend on an index or rate are recorded as lease expense in the period incurred. Lease expense is recognized over the term of the lease on a straight-line basis unless another systematic basis is more representative of the pattern in which the Company expects to consume the asset’s future economic benefits.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ROU assets are evaluated for impairment in a manner consistent with the treatment of other long-lived assets. The Company made an accounting policy election to not recognize lease assets or liabilities for leases with a term of 12 months or less.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years ended December 31, 2023 and 2022 were as follows (in thousands):</w:t>
      </w:r>
    </w:p>
    <w:p>
      <w:pPr>
        <w:spacing w:after="0" w:line="16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16"/>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 cost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10"/>
        </w:trPr>
        <w:tc>
          <w:tcPr>
            <w:tcW w:w="66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Expense charged to operations under the operating lease agreements for prior years were as follows (in thousands):</w:t>
      </w:r>
    </w:p>
    <w:p>
      <w:pPr>
        <w:spacing w:after="0" w:line="33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-94615</wp:posOffset>
            </wp:positionV>
            <wp:extent cx="883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7540" w:val="left"/>
          <w:tab w:leader="none" w:pos="8460" w:val="left"/>
        </w:tabs>
        <w:rPr>
          <w:sz w:val="20"/>
          <w:szCs w:val="20"/>
          <w:color w:val="auto"/>
        </w:rPr>
      </w:pPr>
      <w:r>
        <w:rPr>
          <w:rFonts w:ascii="Times New Roman" w:cs="Times New Roman" w:eastAsia="Times New Roman" w:hAnsi="Times New Roman"/>
          <w:sz w:val="18"/>
          <w:szCs w:val="18"/>
          <w:b w:val="1"/>
          <w:bCs w:val="1"/>
          <w:color w:val="auto"/>
        </w:rPr>
        <w:t>Rent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6,040</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operating leases expire at various dates through 2032. Maturities of our operating lease payments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undiscounted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Less: imputed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Present value of minimum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Less: Operating lease liabilities - current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liabilities - non-current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Maturities of our operating lease payments as of December 31, 2022, are as follows (in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68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209"/>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undiscounted payments</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42,030</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Less: imputed interest</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0" w:type="dxa"/>
            <w:vAlign w:val="bottom"/>
          </w:tcPr>
          <w:p>
            <w:pPr>
              <w:spacing w:after="0"/>
              <w:rPr>
                <w:sz w:val="1"/>
                <w:szCs w:val="1"/>
                <w:color w:val="auto"/>
              </w:rPr>
            </w:pPr>
          </w:p>
        </w:tc>
      </w:tr>
      <w:tr>
        <w:trPr>
          <w:trHeight w:val="209"/>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Present value of minimum lease payments</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Less: Operating lease liabilities - current</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liabilities - non-current</w:t>
            </w:r>
          </w:p>
        </w:tc>
        <w:tc>
          <w:tcPr>
            <w:tcW w:w="4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are as follows: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4"/>
                <w:szCs w:val="24"/>
                <w:color w:val="auto"/>
              </w:rPr>
            </w:pP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lease term (years)</w:t>
            </w:r>
          </w:p>
        </w:tc>
        <w:tc>
          <w:tcPr>
            <w:tcW w:w="4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32"/>
        </w:trPr>
        <w:tc>
          <w:tcPr>
            <w:tcW w:w="6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3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 arising from obtaining ROU assets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 - COMMITMENTS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Management Compensation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executive management entered into employment agreements with the Company. The contracts are for a period of three years, and the contracts provide that such management may earn discretionary bonuses, computed upon a sliding percentage scale of their base salaries, based on the overall financial performance of the Company and each individual’s contributions, subject to approval by the Company’s Board of Directors. Additionally, under certain termination conditions, such contracts provide for severance payments under the Company’s Severance Plan, including payment of base salary, bonus, and fringe benefits. The contracts include certain noncompete clauses commencing upon the employee’s separation from the Company.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The Company could be involved in litigation incidental to the operation of the business. The Company intends to vigorously defend all matters in which the Company is named as a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claims or litigation, if any, in which the Company is involved will materially affect the Company’s consolidated financial condition or results of operations.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S - RELATED-PARTY TRANSACTIONS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November 10, 2021, AerLine, a former consolidated VIE, transferred its ownership in equity investments to the Company in settlement of amounts owed to the Company. As a result, the Company’s $5.4 million balance due from AerLine was reclassified to Investment on the Company’s Consolidated Balance Sheet.</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Based on the financial deterioration of the undelaying company in which the Company held an equity investment, in the fourth quarter of 2021, the Company recognized an unrealized loss on the investment of $5.4 million during the three-month period ended December 31, 2021. This loss is reflected on the Consolidated Statement of Operations in unrealized loss on investment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T - BENEFIT PLANS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 employee retirement savings plan that qualifies under Section 401(k) of the Internal Revenue Code. Participating employees may contribute, but not more than statutory limits. The Company makes nondiscretionary 3% safe harbor contributions of participants’ eligible earnings who have completed the plan’s eligibility requirements. The contributions are made to the plan on behalf of the employees. Total nondiscretionary contributions to the plan were as follows (in thousands):</w:t>
      </w:r>
    </w:p>
    <w:p>
      <w:pPr>
        <w:spacing w:after="0" w:line="19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7620</wp:posOffset>
            </wp:positionV>
            <wp:extent cx="13455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080"/>
        <w:spacing w:after="0"/>
        <w:tabs>
          <w:tab w:leader="none" w:pos="6840" w:val="left"/>
          <w:tab w:leader="none" w:pos="76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Nondiscretionary contributions</w:t>
            </w:r>
          </w:p>
        </w:tc>
        <w:tc>
          <w:tcPr>
            <w:tcW w:w="1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2"/>
              </w:rPr>
              <w:t>$ 1,495</w:t>
            </w:r>
          </w:p>
        </w:tc>
        <w:tc>
          <w:tcPr>
            <w:tcW w:w="7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$ 1,250</w:t>
            </w: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929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December 31, 2023. We maintain disclosure controls and procedures designed to ensure that information required to be disclosed by us in the reports that we file or submit under the Exchange Act is recorded, processed, summarized and reported within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Management of AerSale Corporation is responsible for establishing and maintaining adequate internal control over financial reporting, as such term is defined in Rules 13a-15(f) and 15d-15(f) of the Exchange Act. The Company’s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in accordance with U.S. GAAP and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Internal control systems, no matter how well designed, have inherent limitations. Therefore, even those systems which are determined to be effective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and oversight of the Board of Directors, assessed the effectiveness of our internal control over financial reporting as of December 31, 2023 based on the criteria for effective internal control over financial reporting described in Internal Control–Integrated Framework (2013) issued by the Committee of Sponsoring Organizations of the Treadway Commission.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the Company maintained effective internal control over financial reporting as of December 31, 2023.</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accounting firm on management’s assessment regarding internal control over financial reporting due to the exemption from such requirements established by rules of the SEC for emerging growth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388"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2023:</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6"/>
                <w:szCs w:val="16"/>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160" w:type="dxa"/>
            <w:vAlign w:val="bottom"/>
            <w:gridSpan w:val="2"/>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Under Equity</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Equity compensation plans approved by security holders </w:t>
            </w:r>
            <w:r>
              <w:rPr>
                <w:rFonts w:ascii="Times New Roman" w:cs="Times New Roman" w:eastAsia="Times New Roman" w:hAnsi="Times New Roman"/>
                <w:sz w:val="16"/>
                <w:szCs w:val="16"/>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532,399</w:t>
            </w:r>
          </w:p>
        </w:tc>
        <w:tc>
          <w:tcPr>
            <w:tcW w:w="140" w:type="dxa"/>
            <w:vAlign w:val="bottom"/>
            <w:tcBorders>
              <w:top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7"/>
              </w:rPr>
              <w:t>(2)</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14.82</w:t>
            </w:r>
          </w:p>
        </w:tc>
        <w:tc>
          <w:tcPr>
            <w:tcW w:w="14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3,404,137</w:t>
            </w:r>
          </w:p>
        </w:tc>
        <w:tc>
          <w:tcPr>
            <w:tcW w:w="120" w:type="dxa"/>
            <w:vAlign w:val="bottom"/>
            <w:tcBorders>
              <w:top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7"/>
              </w:rPr>
              <w:t>(3)</w:t>
            </w:r>
          </w:p>
        </w:tc>
        <w:tc>
          <w:tcPr>
            <w:tcW w:w="0" w:type="dxa"/>
            <w:vAlign w:val="bottom"/>
          </w:tcPr>
          <w:p>
            <w:pPr>
              <w:spacing w:after="0"/>
              <w:rPr>
                <w:sz w:val="1"/>
                <w:szCs w:val="1"/>
                <w:color w:val="auto"/>
              </w:rPr>
            </w:pPr>
          </w:p>
        </w:tc>
      </w:tr>
      <w:tr>
        <w:trPr>
          <w:trHeight w:val="149"/>
        </w:trPr>
        <w:tc>
          <w:tcPr>
            <w:tcW w:w="36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532,399</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3,404,137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AerSale Corporation 2020 Equity Incentive Plan (the “2020 Plan”) and the AerSale Corporation 2020 Employee Stock Purchase Plan (the “ESPP”).</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represent shares pursuant to the 2020 Plan.</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2020 Plan, a total of 2,996,618 shares were available for issuance in the form of restricted stock, restricted stock units, stock options, or other stock-based or cash-based awards as of December 31, 2023, excluding shares to be issued under outstanding equity awards. Under the ESPP, a total of 407,519 shares were available for issuance as of December 31, 2023.</w:t>
      </w:r>
    </w:p>
    <w:p>
      <w:pPr>
        <w:spacing w:after="0" w:line="180"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the response to this Item 12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right="119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r>
        <w:rPr>
          <w:rFonts w:ascii="Times New Roman" w:cs="Times New Roman" w:eastAsia="Times New Roman" w:hAnsi="Times New Roman"/>
          <w:sz w:val="17"/>
          <w:szCs w:val="17"/>
          <w:color w:val="auto"/>
        </w:rPr>
        <w: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960" w:type="dxa"/>
            <w:vAlign w:val="bottom"/>
            <w:gridSpan w:val="7"/>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Agreement and Plan of Merger, dated</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001-38801</w:t>
            </w:r>
          </w:p>
        </w:tc>
        <w:tc>
          <w:tcPr>
            <w:tcW w:w="18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12/9/2019</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December 8, 2019, by and among</w:t>
              </w:r>
            </w:hyperlink>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Monocle Acquisition Corporation,</w:t>
              </w:r>
            </w:hyperlink>
          </w:p>
        </w:tc>
        <w:tc>
          <w:tcPr>
            <w:tcW w:w="4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Monocle Holdings Inc., AerSale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Corp., Monocle Merger Sub 1 Inc.,</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Monocle Merger Sub 2 LLC, and</w:t>
              </w:r>
            </w:hyperlink>
          </w:p>
        </w:tc>
        <w:tc>
          <w:tcPr>
            <w:tcW w:w="100" w:type="dxa"/>
            <w:vAlign w:val="bottom"/>
            <w:tcBorders>
              <w:top w:val="single" w:sz="8" w:color="0000EE"/>
            </w:tcBorders>
            <w:gridSpan w:val="2"/>
          </w:tcPr>
          <w:p>
            <w:pPr>
              <w:spacing w:after="0"/>
              <w:rPr>
                <w:sz w:val="17"/>
                <w:szCs w:val="17"/>
                <w:color w:val="auto"/>
              </w:rPr>
            </w:pPr>
          </w:p>
        </w:tc>
        <w:tc>
          <w:tcPr>
            <w:tcW w:w="4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Leonard Green &amp; Partners, L.P., in its</w:t>
              </w:r>
            </w:hyperlink>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capacity as the Holder Representative</w:t>
              </w:r>
            </w:hyperlink>
            <w:r>
              <w:rPr>
                <w:rFonts w:ascii="Times New Roman" w:cs="Times New Roman" w:eastAsia="Times New Roman" w:hAnsi="Times New Roman"/>
                <w:sz w:val="18"/>
                <w:szCs w:val="18"/>
                <w:color w:val="000000"/>
              </w:rPr>
              <w: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Amendment No. 1 to the Agreement</w:t>
              </w:r>
            </w:hyperlink>
          </w:p>
        </w:tc>
        <w:tc>
          <w:tcPr>
            <w:tcW w:w="320" w:type="dxa"/>
            <w:vAlign w:val="bottom"/>
            <w:gridSpan w:val="8"/>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08/4/2020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and Plan of Merger, dated August 13,</w:t>
              </w:r>
            </w:hyperlink>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2020, by and among Monocle</w:t>
              </w:r>
            </w:hyperlink>
          </w:p>
        </w:tc>
        <w:tc>
          <w:tcPr>
            <w:tcW w:w="8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Acquisition Corporation, Monocle</w:t>
              </w:r>
            </w:hyperlink>
          </w:p>
        </w:tc>
        <w:tc>
          <w:tcPr>
            <w:tcW w:w="4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Holdings Inc., AerSale Corp.,</w:t>
              </w:r>
            </w:hyperlink>
          </w:p>
        </w:tc>
        <w:tc>
          <w:tcPr>
            <w:tcW w:w="82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Monocle Merger Sub 1 Inc., Monocle</w:t>
              </w:r>
            </w:hyperlink>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Merger Sub 2 LLC, and Leonard</w:t>
              </w:r>
            </w:hyperlink>
          </w:p>
        </w:tc>
        <w:tc>
          <w:tcPr>
            <w:tcW w:w="58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Green &amp; Partners, L.P., in its capacity</w:t>
              </w:r>
            </w:hyperlink>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as the Holder Representative</w:t>
              </w:r>
              <w:r>
                <w:rPr>
                  <w:rFonts w:ascii="Times New Roman" w:cs="Times New Roman" w:eastAsia="Times New Roman" w:hAnsi="Times New Roman"/>
                  <w:sz w:val="18"/>
                  <w:szCs w:val="18"/>
                  <w:color w:val="000000"/>
                </w:rPr>
                <w:t>.</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Agreement</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09/08/2020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and Plan of Merger, dated</w:t>
              </w:r>
            </w:hyperlink>
          </w:p>
        </w:tc>
        <w:tc>
          <w:tcPr>
            <w:tcW w:w="620" w:type="dxa"/>
            <w:vAlign w:val="bottom"/>
            <w:tcBorders>
              <w:top w:val="single" w:sz="8" w:color="0000EE"/>
            </w:tcBorders>
            <w:gridSpan w:val="10"/>
          </w:tcPr>
          <w:p>
            <w:pPr>
              <w:spacing w:after="0"/>
              <w:rPr>
                <w:sz w:val="17"/>
                <w:szCs w:val="17"/>
                <w:color w:val="auto"/>
              </w:rPr>
            </w:pPr>
          </w:p>
        </w:tc>
        <w:tc>
          <w:tcPr>
            <w:tcW w:w="4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September 8, 2020, by and among</w:t>
              </w:r>
            </w:hyperlink>
          </w:p>
        </w:tc>
        <w:tc>
          <w:tcPr>
            <w:tcW w:w="50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Monocle Acquisition Corporation,</w:t>
              </w:r>
            </w:hyperlink>
          </w:p>
        </w:tc>
        <w:tc>
          <w:tcPr>
            <w:tcW w:w="4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Monocle Holdings Inc., AerSale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Corp., Monocle Merger Sub 1 Inc.,</w:t>
              </w:r>
            </w:hyperlink>
          </w:p>
        </w:tc>
        <w:tc>
          <w:tcPr>
            <w:tcW w:w="42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Monocle Merger Sub 2 LLC, and</w:t>
              </w:r>
            </w:hyperlink>
          </w:p>
        </w:tc>
        <w:tc>
          <w:tcPr>
            <w:tcW w:w="56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Leonard Green &amp; Partners, L.P., in its</w:t>
              </w:r>
            </w:hyperlink>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capacity as the Holder Representative.</w:t>
              </w:r>
            </w:hyperlink>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No. 1 to the Amended</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and Restated Agreement and Plan of</w:t>
              </w:r>
            </w:hyperlink>
          </w:p>
        </w:tc>
        <w:tc>
          <w:tcPr>
            <w:tcW w:w="32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Merger, dated December 16, 2020, by</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and among Monocle Acquisition</w:t>
              </w:r>
            </w:hyperlink>
          </w:p>
        </w:tc>
        <w:tc>
          <w:tcPr>
            <w:tcW w:w="360" w:type="dxa"/>
            <w:vAlign w:val="bottom"/>
            <w:tcBorders>
              <w:top w:val="single" w:sz="8" w:color="0000EE"/>
            </w:tcBorders>
            <w:gridSpan w:val="13"/>
          </w:tcPr>
          <w:p>
            <w:pPr>
              <w:spacing w:after="0"/>
              <w:rPr>
                <w:sz w:val="17"/>
                <w:szCs w:val="17"/>
                <w:color w:val="auto"/>
              </w:rPr>
            </w:pP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Corporation, Monocle Holdings Inc.,</w:t>
              </w:r>
            </w:hyperlink>
          </w:p>
        </w:tc>
        <w:tc>
          <w:tcPr>
            <w:tcW w:w="2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AerSale Corp., Monocle Merger Sub</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1 Inc., Monocle Merger Sub 2 LLC,</w:t>
              </w:r>
            </w:hyperlink>
          </w:p>
        </w:tc>
        <w:tc>
          <w:tcPr>
            <w:tcW w:w="40" w:type="dxa"/>
            <w:vAlign w:val="bottom"/>
            <w:tcBorders>
              <w:top w:val="single" w:sz="8" w:color="0000EE"/>
            </w:tcBorders>
            <w:gridSpan w:val="2"/>
          </w:tcPr>
          <w:p>
            <w:pPr>
              <w:spacing w:after="0"/>
              <w:rPr>
                <w:sz w:val="17"/>
                <w:szCs w:val="17"/>
                <w:color w:val="auto"/>
              </w:rPr>
            </w:pPr>
          </w:p>
        </w:tc>
        <w:tc>
          <w:tcPr>
            <w:tcW w:w="32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and Leonard Green &amp; Partners, L.P.,</w:t>
              </w:r>
            </w:hyperlink>
          </w:p>
        </w:tc>
        <w:tc>
          <w:tcPr>
            <w:tcW w:w="3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 its capacity as the Holder</w:t>
              </w:r>
            </w:hyperlink>
          </w:p>
        </w:tc>
        <w:tc>
          <w:tcPr>
            <w:tcW w:w="90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Representative.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Certificate of</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Incorporation of Monocle</w:t>
              </w:r>
            </w:hyperlink>
          </w:p>
        </w:tc>
        <w:tc>
          <w:tcPr>
            <w:tcW w:w="800" w:type="dxa"/>
            <w:vAlign w:val="bottom"/>
            <w:tcBorders>
              <w:top w:val="single" w:sz="8" w:color="0000EE"/>
            </w:tcBorders>
            <w:gridSpan w:val="17"/>
          </w:tcPr>
          <w:p>
            <w:pPr>
              <w:spacing w:after="0"/>
              <w:rPr>
                <w:sz w:val="17"/>
                <w:szCs w:val="17"/>
                <w:color w:val="auto"/>
              </w:rPr>
            </w:pPr>
          </w:p>
        </w:tc>
        <w:tc>
          <w:tcPr>
            <w:tcW w:w="3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Holdings Inc., dated October 13,</w:t>
              </w:r>
            </w:hyperlink>
          </w:p>
        </w:tc>
        <w:tc>
          <w:tcPr>
            <w:tcW w:w="60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2">
              <w:r>
                <w:rPr>
                  <w:rFonts w:ascii="Times New Roman" w:cs="Times New Roman" w:eastAsia="Times New Roman" w:hAnsi="Times New Roman"/>
                  <w:sz w:val="18"/>
                  <w:szCs w:val="18"/>
                  <w:color w:val="0000EE"/>
                  <w:w w:val="93"/>
                </w:rPr>
                <w:t>2020.</w:t>
              </w:r>
            </w:hyperlink>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Certificate of Amendment to the</w:t>
              </w:r>
            </w:hyperlink>
          </w:p>
        </w:tc>
        <w:tc>
          <w:tcPr>
            <w:tcW w:w="620" w:type="dxa"/>
            <w:vAlign w:val="bottom"/>
            <w:gridSpan w:val="18"/>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Amended and Restated Certificate of</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Incorporation of Monocle</w:t>
              </w:r>
            </w:hyperlink>
          </w:p>
        </w:tc>
        <w:tc>
          <w:tcPr>
            <w:tcW w:w="800" w:type="dxa"/>
            <w:vAlign w:val="bottom"/>
            <w:tcBorders>
              <w:top w:val="single" w:sz="8" w:color="0000EE"/>
            </w:tcBorders>
            <w:gridSpan w:val="17"/>
          </w:tcPr>
          <w:p>
            <w:pPr>
              <w:spacing w:after="0"/>
              <w:rPr>
                <w:sz w:val="17"/>
                <w:szCs w:val="17"/>
                <w:color w:val="auto"/>
              </w:rPr>
            </w:pPr>
          </w:p>
        </w:tc>
        <w:tc>
          <w:tcPr>
            <w:tcW w:w="3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Holdings Inc., dated December 22,</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3">
              <w:r>
                <w:rPr>
                  <w:rFonts w:ascii="Times New Roman" w:cs="Times New Roman" w:eastAsia="Times New Roman" w:hAnsi="Times New Roman"/>
                  <w:sz w:val="18"/>
                  <w:szCs w:val="18"/>
                  <w:color w:val="0000EE"/>
                  <w:w w:val="93"/>
                </w:rPr>
                <w:t>2020.</w:t>
              </w:r>
            </w:hyperlink>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Certificate of Amendment to the</w:t>
              </w:r>
            </w:hyperlink>
          </w:p>
        </w:tc>
        <w:tc>
          <w:tcPr>
            <w:tcW w:w="620" w:type="dxa"/>
            <w:vAlign w:val="bottom"/>
            <w:gridSpan w:val="18"/>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Amended and Restated Certificate of</w:t>
              </w:r>
            </w:hyperlink>
          </w:p>
        </w:tc>
        <w:tc>
          <w:tcPr>
            <w:tcW w:w="28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Incorporation of AerSale Corporation,</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dated June 17, 2021.</w:t>
              </w:r>
            </w:hyperlink>
          </w:p>
        </w:tc>
        <w:tc>
          <w:tcPr>
            <w:tcW w:w="148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Certificate of Amendment to</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06/21/2021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Amended and Restated Certificate of</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Incorporation, as amended, of</w:t>
              </w:r>
            </w:hyperlink>
          </w:p>
        </w:tc>
        <w:tc>
          <w:tcPr>
            <w:tcW w:w="3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AerSale Corporation, dated June 17,</w:t>
              </w:r>
            </w:hyperlink>
          </w:p>
        </w:tc>
        <w:tc>
          <w:tcPr>
            <w:tcW w:w="3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5">
              <w:r>
                <w:rPr>
                  <w:rFonts w:ascii="Times New Roman" w:cs="Times New Roman" w:eastAsia="Times New Roman" w:hAnsi="Times New Roman"/>
                  <w:sz w:val="18"/>
                  <w:szCs w:val="18"/>
                  <w:color w:val="0000EE"/>
                  <w:w w:val="93"/>
                </w:rPr>
                <w:t>2021.</w:t>
              </w:r>
            </w:hyperlink>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0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Amended and Restated Bylaws of</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Monocle Holdings Inc., dated</w:t>
              </w:r>
            </w:hyperlink>
          </w:p>
        </w:tc>
        <w:tc>
          <w:tcPr>
            <w:tcW w:w="300" w:type="dxa"/>
            <w:vAlign w:val="bottom"/>
            <w:tcBorders>
              <w:top w:val="single" w:sz="8" w:color="0000EE"/>
            </w:tcBorders>
            <w:gridSpan w:val="4"/>
          </w:tcPr>
          <w:p>
            <w:pPr>
              <w:spacing w:after="0"/>
              <w:rPr>
                <w:sz w:val="17"/>
                <w:szCs w:val="17"/>
                <w:color w:val="auto"/>
              </w:rPr>
            </w:pPr>
          </w:p>
        </w:tc>
        <w:tc>
          <w:tcPr>
            <w:tcW w:w="52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October 13, 2020.</w:t>
              </w:r>
            </w:hyperlink>
          </w:p>
        </w:tc>
        <w:tc>
          <w:tcPr>
            <w:tcW w:w="166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2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Amendment No. 1 to the Amended</w:t>
              </w:r>
            </w:hyperlink>
          </w:p>
        </w:tc>
        <w:tc>
          <w:tcPr>
            <w:tcW w:w="420" w:type="dxa"/>
            <w:vAlign w:val="bottom"/>
            <w:gridSpan w:val="8"/>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and Restated Bylaws of AerSale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Corporation, dated December 22,</w:t>
              </w:r>
            </w:hyperlink>
          </w:p>
        </w:tc>
        <w:tc>
          <w:tcPr>
            <w:tcW w:w="56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7">
              <w:r>
                <w:rPr>
                  <w:rFonts w:ascii="Times New Roman" w:cs="Times New Roman" w:eastAsia="Times New Roman" w:hAnsi="Times New Roman"/>
                  <w:sz w:val="18"/>
                  <w:szCs w:val="18"/>
                  <w:color w:val="0000EE"/>
                  <w:w w:val="93"/>
                </w:rPr>
                <w:t>2020.</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26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Specimen Common Stock Certificate</w:t>
              </w:r>
            </w:hyperlink>
          </w:p>
        </w:tc>
        <w:tc>
          <w:tcPr>
            <w:tcW w:w="280" w:type="dxa"/>
            <w:vAlign w:val="bottom"/>
            <w:gridSpan w:val="2"/>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of Monocle Holdings Inc.</w:t>
              </w:r>
            </w:hyperlink>
          </w:p>
        </w:tc>
        <w:tc>
          <w:tcPr>
            <w:tcW w:w="110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Specimen Warrant Certificate of</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Monocle Holdings Inc.</w:t>
              </w:r>
            </w:hyperlink>
          </w:p>
        </w:tc>
        <w:tc>
          <w:tcPr>
            <w:tcW w:w="660" w:type="dxa"/>
            <w:vAlign w:val="bottom"/>
            <w:tcBorders>
              <w:top w:val="single" w:sz="8" w:color="0000EE"/>
            </w:tcBorders>
            <w:gridSpan w:val="10"/>
          </w:tcPr>
          <w:p>
            <w:pPr>
              <w:spacing w:after="0"/>
              <w:rPr>
                <w:sz w:val="17"/>
                <w:szCs w:val="17"/>
                <w:color w:val="auto"/>
              </w:rPr>
            </w:pPr>
          </w:p>
        </w:tc>
        <w:tc>
          <w:tcPr>
            <w:tcW w:w="6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Warrant Agreement, dated</w:t>
              </w:r>
            </w:hyperlink>
          </w:p>
        </w:tc>
        <w:tc>
          <w:tcPr>
            <w:tcW w:w="1060" w:type="dxa"/>
            <w:vAlign w:val="bottom"/>
            <w:gridSpan w:val="20"/>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02/12/2019</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February 6, 2019, between Monocle</w:t>
              </w:r>
            </w:hyperlink>
          </w:p>
        </w:tc>
        <w:tc>
          <w:tcPr>
            <w:tcW w:w="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Acquisition Corporation and</w:t>
              </w:r>
            </w:hyperlink>
          </w:p>
        </w:tc>
        <w:tc>
          <w:tcPr>
            <w:tcW w:w="90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Continental Stock Transfer &amp; Trust</w:t>
              </w:r>
            </w:hyperlink>
          </w:p>
        </w:tc>
        <w:tc>
          <w:tcPr>
            <w:tcW w:w="42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Company, as warrant agent.</w:t>
              </w:r>
            </w:hyperlink>
          </w:p>
        </w:tc>
        <w:tc>
          <w:tcPr>
            <w:tcW w:w="96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2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Assignment and Assumption</w:t>
              </w:r>
            </w:hyperlink>
          </w:p>
        </w:tc>
        <w:tc>
          <w:tcPr>
            <w:tcW w:w="880" w:type="dxa"/>
            <w:vAlign w:val="bottom"/>
            <w:gridSpan w:val="16"/>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Agreement, dated December 22,</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2020, by and among Monocle</w:t>
              </w:r>
            </w:hyperlink>
          </w:p>
        </w:tc>
        <w:tc>
          <w:tcPr>
            <w:tcW w:w="6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Holdings Inc., Monocle Acquisition</w:t>
              </w:r>
            </w:hyperlink>
          </w:p>
        </w:tc>
        <w:tc>
          <w:tcPr>
            <w:tcW w:w="3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Corporation and Continental Stock</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121">
              <w:r>
                <w:rPr>
                  <w:rFonts w:ascii="Times New Roman" w:cs="Times New Roman" w:eastAsia="Times New Roman" w:hAnsi="Times New Roman"/>
                  <w:sz w:val="18"/>
                  <w:szCs w:val="18"/>
                  <w:color w:val="0000EE"/>
                  <w:w w:val="97"/>
                </w:rPr>
                <w:t>Transfer &amp; Trust Company.</w:t>
              </w:r>
            </w:hyperlink>
          </w:p>
        </w:tc>
        <w:tc>
          <w:tcPr>
            <w:tcW w:w="520" w:type="dxa"/>
            <w:vAlign w:val="bottom"/>
            <w:tcBorders>
              <w:top w:val="single" w:sz="8" w:color="0000EE"/>
            </w:tcBorders>
            <w:gridSpan w:val="9"/>
          </w:tcPr>
          <w:p>
            <w:pPr>
              <w:spacing w:after="0"/>
              <w:rPr>
                <w:sz w:val="17"/>
                <w:szCs w:val="17"/>
                <w:color w:val="auto"/>
              </w:rPr>
            </w:pPr>
          </w:p>
        </w:tc>
        <w:tc>
          <w:tcPr>
            <w:tcW w:w="4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2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Description of the Registrant’s</w:t>
              </w:r>
            </w:hyperlink>
          </w:p>
        </w:tc>
        <w:tc>
          <w:tcPr>
            <w:tcW w:w="760" w:type="dxa"/>
            <w:vAlign w:val="bottom"/>
            <w:gridSpan w:val="14"/>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Securities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Letter Agreement, dated</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December 16, 2020, by and among</w:t>
              </w:r>
            </w:hyperlink>
          </w:p>
        </w:tc>
        <w:tc>
          <w:tcPr>
            <w:tcW w:w="4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Monocle Acquisition</w:t>
              </w:r>
            </w:hyperlink>
          </w:p>
        </w:tc>
        <w:tc>
          <w:tcPr>
            <w:tcW w:w="1440" w:type="dxa"/>
            <w:vAlign w:val="bottom"/>
            <w:gridSpan w:val="2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Corporation, Monocle Holdings Inc.,</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AerSale Corp., Monocle Merger Sub</w:t>
              </w:r>
            </w:hyperlink>
          </w:p>
        </w:tc>
        <w:tc>
          <w:tcPr>
            <w:tcW w:w="3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1 Inc., Monocle Merger Sub 2 LLC,</w:t>
              </w:r>
            </w:hyperlink>
          </w:p>
        </w:tc>
        <w:tc>
          <w:tcPr>
            <w:tcW w:w="40" w:type="dxa"/>
            <w:vAlign w:val="bottom"/>
            <w:tcBorders>
              <w:top w:val="single" w:sz="8" w:color="0000EE"/>
            </w:tcBorders>
            <w:gridSpan w:val="2"/>
          </w:tcPr>
          <w:p>
            <w:pPr>
              <w:spacing w:after="0"/>
              <w:rPr>
                <w:sz w:val="17"/>
                <w:szCs w:val="17"/>
                <w:color w:val="auto"/>
              </w:rPr>
            </w:pPr>
          </w:p>
        </w:tc>
        <w:tc>
          <w:tcPr>
            <w:tcW w:w="3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and Leonard Green &amp; Partners, L.P.,</w:t>
              </w:r>
            </w:hyperlink>
          </w:p>
        </w:tc>
        <w:tc>
          <w:tcPr>
            <w:tcW w:w="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in its capacity as the Holder</w:t>
              </w:r>
            </w:hyperlink>
          </w:p>
        </w:tc>
        <w:tc>
          <w:tcPr>
            <w:tcW w:w="96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Representative.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and Restated Registration</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Rights Agreement, dated</w:t>
              </w:r>
            </w:hyperlink>
          </w:p>
        </w:tc>
        <w:tc>
          <w:tcPr>
            <w:tcW w:w="38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December 22, 2020, by and among</w:t>
        </w:r>
      </w:hyperlink>
    </w:p>
    <w:p>
      <w:pPr>
        <w:spacing w:after="0" w:line="27"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Monocle Holdings Inc., Monocle</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Acquisition Corporation, Monocle</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Partners, LLC, Cowen Investments II</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LLC, C. Robert Kehler, Donald W.</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Manvel, John C. Pescatore,</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Green Equity Investors V, L.P., Green</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Equity Investors Side V, L.P., LGP</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Parts Coinvest LLC., Florida Growth</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Fund LLC, Enarey, LP and</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ThoughtValley Limited Partnership.</w:t>
        </w:r>
      </w:hyperlink>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2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Executive Offer Letter between</w:t>
              </w:r>
            </w:hyperlink>
          </w:p>
        </w:tc>
        <w:tc>
          <w:tcPr>
            <w:tcW w:w="680" w:type="dxa"/>
            <w:vAlign w:val="bottom"/>
            <w:gridSpan w:val="19"/>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AerSale Inc. and Nicolas Finazzo</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Executive Offer Letter between</w:t>
              </w:r>
            </w:hyperlink>
          </w:p>
        </w:tc>
        <w:tc>
          <w:tcPr>
            <w:tcW w:w="120" w:type="dxa"/>
            <w:vAlign w:val="bottom"/>
            <w:tcBorders>
              <w:top w:val="single" w:sz="8" w:color="0000EE"/>
            </w:tcBorders>
            <w:gridSpan w:val="3"/>
          </w:tcPr>
          <w:p>
            <w:pPr>
              <w:spacing w:after="0"/>
              <w:rPr>
                <w:sz w:val="24"/>
                <w:szCs w:val="24"/>
                <w:color w:val="auto"/>
              </w:rPr>
            </w:pPr>
          </w:p>
        </w:tc>
        <w:tc>
          <w:tcPr>
            <w:tcW w:w="560" w:type="dxa"/>
            <w:vAlign w:val="bottom"/>
            <w:gridSpan w:val="16"/>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AerSale Inc. and Martin Garmendia</w:t>
              </w:r>
            </w:hyperlink>
          </w:p>
        </w:tc>
        <w:tc>
          <w:tcPr>
            <w:tcW w:w="38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Executive Offer Letter between</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AerSale Inc. and Basil Barimo</w:t>
              </w:r>
            </w:hyperlink>
          </w:p>
        </w:tc>
        <w:tc>
          <w:tcPr>
            <w:tcW w:w="40" w:type="dxa"/>
            <w:vAlign w:val="bottom"/>
            <w:tcBorders>
              <w:top w:val="single" w:sz="8" w:color="0000EE"/>
            </w:tcBorders>
          </w:tcPr>
          <w:p>
            <w:pPr>
              <w:spacing w:after="0"/>
              <w:rPr>
                <w:sz w:val="17"/>
                <w:szCs w:val="17"/>
                <w:color w:val="auto"/>
              </w:rPr>
            </w:pPr>
          </w:p>
        </w:tc>
        <w:tc>
          <w:tcPr>
            <w:tcW w:w="7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Executive Offer Letter between</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AerSale Inc. and Gary Jones</w:t>
              </w:r>
            </w:hyperlink>
          </w:p>
        </w:tc>
        <w:tc>
          <w:tcPr>
            <w:tcW w:w="7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Executive Offer Letter between</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AerSale Inc. and Iso Nezaj</w:t>
              </w:r>
            </w:hyperlink>
          </w:p>
        </w:tc>
        <w:tc>
          <w:tcPr>
            <w:tcW w:w="7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Executive Offer Letter between</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AerSale Inc. and Craig Wright</w:t>
              </w:r>
            </w:hyperlink>
          </w:p>
        </w:tc>
        <w:tc>
          <w:tcPr>
            <w:tcW w:w="60" w:type="dxa"/>
            <w:vAlign w:val="bottom"/>
            <w:tcBorders>
              <w:top w:val="single" w:sz="8" w:color="0000EE"/>
            </w:tcBorders>
            <w:gridSpan w:val="2"/>
          </w:tcPr>
          <w:p>
            <w:pPr>
              <w:spacing w:after="0"/>
              <w:rPr>
                <w:sz w:val="17"/>
                <w:szCs w:val="17"/>
                <w:color w:val="auto"/>
              </w:rPr>
            </w:pPr>
          </w:p>
        </w:tc>
        <w:tc>
          <w:tcPr>
            <w:tcW w:w="7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27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Amended and Restated AerSale Corp.</w:t>
              </w:r>
            </w:hyperlink>
          </w:p>
        </w:tc>
        <w:tc>
          <w:tcPr>
            <w:tcW w:w="200" w:type="dxa"/>
            <w:vAlign w:val="bottom"/>
            <w:gridSpan w:val="2"/>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Stock Appreciation Rights Plan.</w:t>
              </w:r>
            </w:hyperlink>
          </w:p>
        </w:tc>
        <w:tc>
          <w:tcPr>
            <w:tcW w:w="64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AerSale Corporation Severance Plan.</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AerSale Corporation 2020 Equity</w:t>
              </w:r>
            </w:hyperlink>
          </w:p>
        </w:tc>
        <w:tc>
          <w:tcPr>
            <w:tcW w:w="260" w:type="dxa"/>
            <w:vAlign w:val="bottom"/>
            <w:tcBorders>
              <w:top w:val="single" w:sz="8" w:color="0000EE"/>
            </w:tcBorders>
            <w:gridSpan w:val="10"/>
          </w:tcPr>
          <w:p>
            <w:pPr>
              <w:spacing w:after="0"/>
              <w:rPr>
                <w:sz w:val="24"/>
                <w:szCs w:val="24"/>
                <w:color w:val="auto"/>
              </w:rPr>
            </w:pPr>
          </w:p>
        </w:tc>
        <w:tc>
          <w:tcPr>
            <w:tcW w:w="280" w:type="dxa"/>
            <w:vAlign w:val="bottom"/>
            <w:gridSpan w:val="5"/>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Incentive Plan.</w:t>
              </w:r>
            </w:hyperlink>
          </w:p>
        </w:tc>
        <w:tc>
          <w:tcPr>
            <w:tcW w:w="1880" w:type="dxa"/>
            <w:vAlign w:val="bottom"/>
            <w:gridSpan w:val="2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27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Forms of award agreements under the</w:t>
              </w:r>
            </w:hyperlink>
          </w:p>
        </w:tc>
        <w:tc>
          <w:tcPr>
            <w:tcW w:w="240" w:type="dxa"/>
            <w:vAlign w:val="bottom"/>
            <w:gridSpan w:val="4"/>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333-253424</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02/24/2021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AerSale Corporation 2020 Equity</w:t>
              </w:r>
            </w:hyperlink>
          </w:p>
        </w:tc>
        <w:tc>
          <w:tcPr>
            <w:tcW w:w="54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Incentive Plan</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2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AerSale Corporation 2020 Employee</w:t>
              </w:r>
            </w:hyperlink>
          </w:p>
        </w:tc>
        <w:tc>
          <w:tcPr>
            <w:tcW w:w="280" w:type="dxa"/>
            <w:vAlign w:val="bottom"/>
            <w:gridSpan w:val="5"/>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Stock Purchase Plan.</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4"/>
                <w:szCs w:val="24"/>
                <w:color w:val="auto"/>
              </w:rPr>
            </w:pPr>
          </w:p>
        </w:tc>
        <w:tc>
          <w:tcPr>
            <w:tcW w:w="2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Amended and Restated Credit</w:t>
              </w:r>
            </w:hyperlink>
          </w:p>
        </w:tc>
        <w:tc>
          <w:tcPr>
            <w:tcW w:w="800" w:type="dxa"/>
            <w:vAlign w:val="bottom"/>
            <w:gridSpan w:val="23"/>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Agreement, dated as of July 20, 2018,</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by and among Aersale Aviation Inc.,</w:t>
              </w:r>
            </w:hyperlink>
          </w:p>
        </w:tc>
        <w:tc>
          <w:tcPr>
            <w:tcW w:w="60" w:type="dxa"/>
            <w:vAlign w:val="bottom"/>
            <w:tcBorders>
              <w:top w:val="single" w:sz="8" w:color="0000EE"/>
            </w:tcBorders>
            <w:gridSpan w:val="2"/>
          </w:tcPr>
          <w:p>
            <w:pPr>
              <w:spacing w:after="0"/>
              <w:rPr>
                <w:sz w:val="17"/>
                <w:szCs w:val="17"/>
                <w:color w:val="auto"/>
              </w:rPr>
            </w:pP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the existing borrowers thereto, the</w:t>
              </w:r>
            </w:hyperlink>
          </w:p>
        </w:tc>
        <w:tc>
          <w:tcPr>
            <w:tcW w:w="50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lenders thereto and Wells Fargo Bank,</w:t>
              </w:r>
            </w:hyperlink>
          </w:p>
        </w:tc>
        <w:tc>
          <w:tcPr>
            <w:tcW w:w="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National Association,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administrative agent and lender.</w:t>
              </w:r>
            </w:hyperlink>
          </w:p>
        </w:tc>
        <w:tc>
          <w:tcPr>
            <w:tcW w:w="66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No. 1 to Amended and</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Restated Credit Agreement, dated as</w:t>
              </w:r>
            </w:hyperlink>
          </w:p>
        </w:tc>
        <w:tc>
          <w:tcPr>
            <w:tcW w:w="3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of September 8, 2020, by and among</w:t>
              </w:r>
            </w:hyperlink>
          </w:p>
        </w:tc>
        <w:tc>
          <w:tcPr>
            <w:tcW w:w="3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AerSale Aviation Inc., the existing</w:t>
              </w:r>
            </w:hyperlink>
          </w:p>
        </w:tc>
        <w:tc>
          <w:tcPr>
            <w:tcW w:w="4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borrowers thereto, the lenders thereto</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and Wells Fargo Bank, National</w:t>
              </w:r>
            </w:hyperlink>
          </w:p>
        </w:tc>
        <w:tc>
          <w:tcPr>
            <w:tcW w:w="380" w:type="dxa"/>
            <w:vAlign w:val="bottom"/>
            <w:tcBorders>
              <w:top w:val="single" w:sz="8" w:color="0000EE"/>
            </w:tcBorders>
            <w:gridSpan w:val="13"/>
          </w:tcPr>
          <w:p>
            <w:pPr>
              <w:spacing w:after="0"/>
              <w:rPr>
                <w:sz w:val="17"/>
                <w:szCs w:val="17"/>
                <w:color w:val="auto"/>
              </w:rPr>
            </w:pPr>
          </w:p>
        </w:tc>
        <w:tc>
          <w:tcPr>
            <w:tcW w:w="2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Association, as administrative agent</w:t>
              </w:r>
            </w:hyperlink>
          </w:p>
        </w:tc>
        <w:tc>
          <w:tcPr>
            <w:tcW w:w="36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and lender.</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24"/>
                <w:szCs w:val="24"/>
                <w:color w:val="auto"/>
              </w:rPr>
            </w:pPr>
          </w:p>
        </w:tc>
        <w:tc>
          <w:tcPr>
            <w:tcW w:w="2960" w:type="dxa"/>
            <w:vAlign w:val="bottom"/>
            <w:gridSpan w:val="31"/>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No. 2 to Amended and</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10"/>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1"/>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Restated Credit Agreement, dated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of March 12, 2021, by and among</w:t>
              </w:r>
            </w:hyperlink>
          </w:p>
        </w:tc>
        <w:tc>
          <w:tcPr>
            <w:tcW w:w="3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10"/>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AerSale Aviation Inc., the existing</w:t>
              </w:r>
            </w:hyperlink>
          </w:p>
        </w:tc>
        <w:tc>
          <w:tcPr>
            <w:tcW w:w="4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borrowers thereto, the lenders thereto,</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Wells Fargo Bank, National</w:t>
              </w:r>
            </w:hyperlink>
          </w:p>
        </w:tc>
        <w:tc>
          <w:tcPr>
            <w:tcW w:w="920" w:type="dxa"/>
            <w:vAlign w:val="bottom"/>
            <w:gridSpan w:val="2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Association, as administrative agent</w:t>
              </w:r>
            </w:hyperlink>
          </w:p>
        </w:tc>
        <w:tc>
          <w:tcPr>
            <w:tcW w:w="36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and lender, AerSale Ireland 1 Limited,</w:t>
              </w:r>
            </w:hyperlink>
          </w:p>
        </w:tc>
        <w:tc>
          <w:tcPr>
            <w:tcW w:w="1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as new borrower and AerSale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Corporation and Monocle Parent</w:t>
              </w:r>
            </w:hyperlink>
          </w:p>
        </w:tc>
        <w:tc>
          <w:tcPr>
            <w:tcW w:w="60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LLC, as guarantors.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24"/>
                <w:szCs w:val="24"/>
                <w:color w:val="auto"/>
              </w:rPr>
            </w:pPr>
          </w:p>
        </w:tc>
        <w:tc>
          <w:tcPr>
            <w:tcW w:w="25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AerSale Corporation Amended and</w:t>
              </w:r>
            </w:hyperlink>
          </w:p>
        </w:tc>
        <w:tc>
          <w:tcPr>
            <w:tcW w:w="400" w:type="dxa"/>
            <w:vAlign w:val="bottom"/>
            <w:gridSpan w:val="8"/>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Restated Non-Employee Director</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41">
              <w:r>
                <w:rPr>
                  <w:rFonts w:ascii="Times New Roman" w:cs="Times New Roman" w:eastAsia="Times New Roman" w:hAnsi="Times New Roman"/>
                  <w:sz w:val="18"/>
                  <w:szCs w:val="18"/>
                  <w:color w:val="0000EE"/>
                  <w:w w:val="95"/>
                </w:rPr>
                <w:t>Policy</w:t>
              </w:r>
            </w:hyperlink>
          </w:p>
        </w:tc>
        <w:tc>
          <w:tcPr>
            <w:tcW w:w="1940" w:type="dxa"/>
            <w:vAlign w:val="bottom"/>
            <w:tcBorders>
              <w:top w:val="single" w:sz="8" w:color="0000EE"/>
            </w:tcBorders>
            <w:gridSpan w:val="15"/>
          </w:tcPr>
          <w:p>
            <w:pPr>
              <w:spacing w:after="0"/>
              <w:rPr>
                <w:sz w:val="17"/>
                <w:szCs w:val="17"/>
                <w:color w:val="auto"/>
              </w:rPr>
            </w:pPr>
          </w:p>
        </w:tc>
        <w:tc>
          <w:tcPr>
            <w:tcW w:w="5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24"/>
                <w:szCs w:val="24"/>
                <w:color w:val="auto"/>
              </w:rPr>
            </w:pPr>
          </w:p>
        </w:tc>
        <w:tc>
          <w:tcPr>
            <w:tcW w:w="26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Form of Restricted Stock Unit Grant</w:t>
              </w:r>
            </w:hyperlink>
          </w:p>
        </w:tc>
        <w:tc>
          <w:tcPr>
            <w:tcW w:w="320" w:type="dxa"/>
            <w:vAlign w:val="bottom"/>
            <w:gridSpan w:val="5"/>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Notice under the AerSale Corporation</w:t>
              </w:r>
            </w:hyperlink>
          </w:p>
        </w:tc>
        <w:tc>
          <w:tcPr>
            <w:tcW w:w="2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2020 Equity Incentive Plan (Non-</w:t>
              </w:r>
            </w:hyperlink>
          </w:p>
        </w:tc>
        <w:tc>
          <w:tcPr>
            <w:tcW w:w="52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Employee Directors).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24"/>
                <w:szCs w:val="24"/>
                <w:color w:val="auto"/>
              </w:rPr>
            </w:pPr>
          </w:p>
        </w:tc>
        <w:tc>
          <w:tcPr>
            <w:tcW w:w="2960" w:type="dxa"/>
            <w:vAlign w:val="bottom"/>
            <w:gridSpan w:val="32"/>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AerSale Corporation Second</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001-388801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Amended and Restated Non-</w:t>
              </w:r>
            </w:hyperlink>
          </w:p>
        </w:tc>
        <w:tc>
          <w:tcPr>
            <w:tcW w:w="84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Employee Director Compensation</w:t>
              </w:r>
            </w:hyperlink>
          </w:p>
        </w:tc>
        <w:tc>
          <w:tcPr>
            <w:tcW w:w="50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43">
              <w:r>
                <w:rPr>
                  <w:rFonts w:ascii="Times New Roman" w:cs="Times New Roman" w:eastAsia="Times New Roman" w:hAnsi="Times New Roman"/>
                  <w:sz w:val="18"/>
                  <w:szCs w:val="18"/>
                  <w:color w:val="0000EE"/>
                  <w:w w:val="95"/>
                </w:rPr>
                <w:t>Policy</w:t>
              </w:r>
            </w:hyperlink>
          </w:p>
        </w:tc>
        <w:tc>
          <w:tcPr>
            <w:tcW w:w="2500" w:type="dxa"/>
            <w:vAlign w:val="bottom"/>
            <w:gridSpan w:val="2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24"/>
                <w:szCs w:val="24"/>
                <w:color w:val="auto"/>
              </w:rPr>
            </w:pPr>
          </w:p>
        </w:tc>
        <w:tc>
          <w:tcPr>
            <w:tcW w:w="2960" w:type="dxa"/>
            <w:vAlign w:val="bottom"/>
            <w:gridSpan w:val="32"/>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Amendment No. 3 to Amended and</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Restated Credit Agreement, dated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of March 9, 2023, by and among</w:t>
              </w:r>
            </w:hyperlink>
          </w:p>
        </w:tc>
        <w:tc>
          <w:tcPr>
            <w:tcW w:w="260" w:type="dxa"/>
            <w:vAlign w:val="bottom"/>
            <w:tcBorders>
              <w:top w:val="single" w:sz="8" w:color="0000EE"/>
            </w:tcBorders>
            <w:gridSpan w:val="9"/>
          </w:tcPr>
          <w:p>
            <w:pPr>
              <w:spacing w:after="0"/>
              <w:rPr>
                <w:sz w:val="17"/>
                <w:szCs w:val="17"/>
                <w:color w:val="auto"/>
              </w:rPr>
            </w:pPr>
          </w:p>
        </w:tc>
        <w:tc>
          <w:tcPr>
            <w:tcW w:w="34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AerSale Aviation Inc., the existing</w:t>
              </w:r>
            </w:hyperlink>
          </w:p>
        </w:tc>
        <w:tc>
          <w:tcPr>
            <w:tcW w:w="4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borrowers thereto, the lenders thereto,</w:t>
              </w:r>
            </w:hyperlink>
          </w:p>
        </w:tc>
        <w:tc>
          <w:tcPr>
            <w:tcW w:w="2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and Wells Fargo Bank, National</w:t>
              </w:r>
            </w:hyperlink>
          </w:p>
        </w:tc>
        <w:tc>
          <w:tcPr>
            <w:tcW w:w="66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Association, as administrative agent</w:t>
              </w:r>
            </w:hyperlink>
          </w:p>
        </w:tc>
        <w:tc>
          <w:tcPr>
            <w:tcW w:w="3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and lender</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24"/>
                <w:szCs w:val="24"/>
                <w:color w:val="auto"/>
              </w:rPr>
            </w:pPr>
          </w:p>
        </w:tc>
        <w:tc>
          <w:tcPr>
            <w:tcW w:w="25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Amendment No. 4 to the Amended</w:t>
              </w:r>
            </w:hyperlink>
          </w:p>
        </w:tc>
        <w:tc>
          <w:tcPr>
            <w:tcW w:w="400" w:type="dxa"/>
            <w:vAlign w:val="bottom"/>
            <w:gridSpan w:val="8"/>
          </w:tcPr>
          <w:p>
            <w:pPr>
              <w:spacing w:after="0"/>
              <w:rPr>
                <w:sz w:val="24"/>
                <w:szCs w:val="2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08/10/2023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and Restated Credit Agreement, dated</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as of July 25, 2023, by and among the</w:t>
              </w:r>
            </w:hyperlink>
          </w:p>
        </w:tc>
        <w:tc>
          <w:tcPr>
            <w:tcW w:w="2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Company, the lenders and other</w:t>
              </w:r>
            </w:hyperlink>
          </w:p>
        </w:tc>
        <w:tc>
          <w:tcPr>
            <w:tcW w:w="68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parties from time to time party</w:t>
              </w:r>
            </w:hyperlink>
          </w:p>
        </w:tc>
        <w:tc>
          <w:tcPr>
            <w:tcW w:w="76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thereto, Synovus Bank,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documentation agent, and Wells Fargo</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Bank, National Administration, as</w:t>
              </w:r>
            </w:hyperlink>
          </w:p>
        </w:tc>
        <w:tc>
          <w:tcPr>
            <w:tcW w:w="50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administrative agent and collateral</w:t>
              </w:r>
            </w:hyperlink>
          </w:p>
        </w:tc>
        <w:tc>
          <w:tcPr>
            <w:tcW w:w="4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agent.</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2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First Amendment to the AerSale</w:t>
              </w:r>
            </w:hyperlink>
          </w:p>
        </w:tc>
        <w:tc>
          <w:tcPr>
            <w:tcW w:w="620" w:type="dxa"/>
            <w:vAlign w:val="bottom"/>
            <w:gridSpan w:val="16"/>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333-274663</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09/22/2023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Corporation 2020 Equity Incentive</w:t>
              </w:r>
            </w:hyperlink>
          </w:p>
        </w:tc>
        <w:tc>
          <w:tcPr>
            <w:tcW w:w="4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46">
              <w:r>
                <w:rPr>
                  <w:rFonts w:ascii="Times New Roman" w:cs="Times New Roman" w:eastAsia="Times New Roman" w:hAnsi="Times New Roman"/>
                  <w:sz w:val="18"/>
                  <w:szCs w:val="18"/>
                  <w:color w:val="0000EE"/>
                  <w:w w:val="93"/>
                </w:rPr>
                <w:t>Plan</w:t>
              </w:r>
            </w:hyperlink>
          </w:p>
        </w:tc>
        <w:tc>
          <w:tcPr>
            <w:tcW w:w="2640" w:type="dxa"/>
            <w:vAlign w:val="bottom"/>
            <w:gridSpan w:val="3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1520" w:type="dxa"/>
            <w:vAlign w:val="bottom"/>
            <w:gridSpan w:val="26"/>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4"/>
                <w:szCs w:val="24"/>
                <w:color w:val="auto"/>
              </w:rPr>
            </w:pPr>
          </w:p>
        </w:tc>
        <w:tc>
          <w:tcPr>
            <w:tcW w:w="2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Consent of Grant Thornton LLP.</w:t>
            </w:r>
          </w:p>
        </w:tc>
        <w:tc>
          <w:tcPr>
            <w:tcW w:w="62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25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Certification of Principal Executive</w:t>
            </w:r>
          </w:p>
        </w:tc>
        <w:tc>
          <w:tcPr>
            <w:tcW w:w="4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20" w:type="dxa"/>
            <w:vAlign w:val="bottom"/>
            <w:tcBorders>
              <w:top w:val="single" w:sz="8" w:color="0000EE"/>
            </w:tcBorders>
          </w:tcPr>
          <w:p>
            <w:pPr>
              <w:spacing w:after="0"/>
              <w:rPr>
                <w:sz w:val="17"/>
                <w:szCs w:val="17"/>
                <w:color w:val="auto"/>
              </w:rPr>
            </w:pPr>
          </w:p>
        </w:tc>
        <w:tc>
          <w:tcPr>
            <w:tcW w:w="78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w:t>
            </w:r>
          </w:p>
        </w:tc>
        <w:tc>
          <w:tcPr>
            <w:tcW w:w="3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200" w:type="dxa"/>
            <w:vAlign w:val="bottom"/>
            <w:tcBorders>
              <w:top w:val="single" w:sz="8" w:color="0000EE"/>
            </w:tcBorders>
            <w:gridSpan w:val="7"/>
          </w:tcPr>
          <w:p>
            <w:pPr>
              <w:spacing w:after="0"/>
              <w:rPr>
                <w:sz w:val="17"/>
                <w:szCs w:val="17"/>
                <w:color w:val="auto"/>
              </w:rPr>
            </w:pPr>
          </w:p>
        </w:tc>
        <w:tc>
          <w:tcPr>
            <w:tcW w:w="40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29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w:t>
            </w:r>
          </w:p>
        </w:tc>
        <w:tc>
          <w:tcPr>
            <w:tcW w:w="4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2"/>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Rules 13a-14(a) and 15d-14(a) under</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Adopted Pursuant to Section 302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2"/>
                <w:szCs w:val="22"/>
                <w:color w:val="auto"/>
              </w:rPr>
            </w:pPr>
          </w:p>
        </w:tc>
        <w:tc>
          <w:tcPr>
            <w:tcW w:w="2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400" w:type="dxa"/>
            <w:vAlign w:val="bottom"/>
            <w:gridSpan w:val="4"/>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w:t>
            </w:r>
          </w:p>
        </w:tc>
        <w:tc>
          <w:tcPr>
            <w:tcW w:w="2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1600" w:type="dxa"/>
            <w:vAlign w:val="bottom"/>
            <w:tcBorders>
              <w:top w:val="single" w:sz="8" w:color="0000EE"/>
            </w:tcBorders>
            <w:gridSpan w:val="2"/>
          </w:tcPr>
          <w:p>
            <w:pPr>
              <w:spacing w:after="0"/>
              <w:rPr>
                <w:sz w:val="17"/>
                <w:szCs w:val="17"/>
                <w:color w:val="auto"/>
              </w:rPr>
            </w:pPr>
          </w:p>
        </w:tc>
        <w:tc>
          <w:tcPr>
            <w:tcW w:w="4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2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w:t>
            </w:r>
          </w:p>
        </w:tc>
        <w:tc>
          <w:tcPr>
            <w:tcW w:w="44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w:t>
            </w:r>
          </w:p>
        </w:tc>
        <w:tc>
          <w:tcPr>
            <w:tcW w:w="2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1600" w:type="dxa"/>
            <w:vAlign w:val="bottom"/>
            <w:tcBorders>
              <w:top w:val="single" w:sz="8" w:color="0000EE"/>
            </w:tcBorders>
            <w:gridSpan w:val="2"/>
          </w:tcPr>
          <w:p>
            <w:pPr>
              <w:spacing w:after="0"/>
              <w:rPr>
                <w:sz w:val="17"/>
                <w:szCs w:val="17"/>
                <w:color w:val="auto"/>
              </w:rPr>
            </w:pPr>
          </w:p>
        </w:tc>
        <w:tc>
          <w:tcPr>
            <w:tcW w:w="4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4"/>
                <w:szCs w:val="24"/>
                <w:color w:val="auto"/>
              </w:rPr>
            </w:pPr>
          </w:p>
        </w:tc>
        <w:tc>
          <w:tcPr>
            <w:tcW w:w="2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AerSale Corporation Clawback Policy</w:t>
            </w:r>
          </w:p>
        </w:tc>
        <w:tc>
          <w:tcPr>
            <w:tcW w:w="20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Label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63" w:lineRule="exact"/>
        <w:rPr>
          <w:sz w:val="20"/>
          <w:szCs w:val="20"/>
          <w:color w:val="auto"/>
        </w:rPr>
      </w:pPr>
    </w:p>
    <w:p>
      <w:pPr>
        <w:ind w:left="980" w:right="5799" w:hanging="9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(formatted as Inline XBRL and contained in Exhibit 101).</w:t>
      </w:r>
    </w:p>
    <w:p>
      <w:pPr>
        <w:spacing w:after="0" w:line="35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14141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 w:lineRule="exact"/>
        <w:rPr>
          <w:sz w:val="20"/>
          <w:szCs w:val="20"/>
          <w:color w:val="auto"/>
        </w:rPr>
      </w:pPr>
    </w:p>
    <w:p>
      <w:pPr>
        <w:ind w:left="380" w:hanging="330"/>
        <w:spacing w:after="0"/>
        <w:tabs>
          <w:tab w:leader="none" w:pos="38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Denotes a management contract or compensation plan or arrangement</w:t>
      </w:r>
    </w:p>
    <w:p>
      <w:pPr>
        <w:spacing w:after="0" w:line="110" w:lineRule="exact"/>
        <w:rPr>
          <w:sz w:val="20"/>
          <w:szCs w:val="20"/>
          <w:color w:val="auto"/>
        </w:rPr>
      </w:pPr>
    </w:p>
    <w:p>
      <w:pPr>
        <w:ind w:left="480" w:right="639" w:hanging="430"/>
        <w:spacing w:after="0" w:line="254"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these agreements have been omitted from this filing pursuant to Item 601(b)(2) of Regulation S-K. The Company will furnish supplemental copies of such omitted schedules and exhibits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52"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8"/>
          <w:szCs w:val="18"/>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color w:val="auto"/>
        </w:rPr>
        <w:t>Nicolas Finazzo</w:t>
      </w:r>
    </w:p>
    <w:p>
      <w:pPr>
        <w:spacing w:after="0" w:line="27"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6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7"/>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Chairman, Chief Executive Officer, Division President,</w:t>
            </w:r>
          </w:p>
        </w:tc>
        <w:tc>
          <w:tcPr>
            <w:tcW w:w="1980" w:type="dxa"/>
            <w:vAlign w:val="bottom"/>
          </w:tcPr>
          <w:p>
            <w:pPr>
              <w:spacing w:after="0"/>
              <w:rPr>
                <w:sz w:val="24"/>
                <w:szCs w:val="24"/>
                <w:color w:val="auto"/>
              </w:rPr>
            </w:pPr>
          </w:p>
        </w:tc>
      </w:tr>
      <w:tr>
        <w:trPr>
          <w:trHeight w:val="23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c>
          <w:tcPr>
            <w:tcW w:w="260" w:type="dxa"/>
            <w:vAlign w:val="bottom"/>
          </w:tcPr>
          <w:p>
            <w:pPr>
              <w:spacing w:after="0"/>
              <w:rPr>
                <w:sz w:val="20"/>
                <w:szCs w:val="20"/>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TechOps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c>
          <w:tcPr>
            <w:tcW w:w="260" w:type="dxa"/>
            <w:vAlign w:val="bottom"/>
          </w:tcPr>
          <w:p>
            <w:pPr>
              <w:spacing w:after="0"/>
              <w:rPr>
                <w:sz w:val="19"/>
                <w:szCs w:val="19"/>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c>
          <w:tcPr>
            <w:tcW w:w="260" w:type="dxa"/>
            <w:vAlign w:val="bottom"/>
          </w:tcPr>
          <w:p>
            <w:pPr>
              <w:spacing w:after="0"/>
              <w:rPr>
                <w:sz w:val="24"/>
                <w:szCs w:val="24"/>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c>
          <w:tcPr>
            <w:tcW w:w="260" w:type="dxa"/>
            <w:vAlign w:val="bottom"/>
          </w:tcPr>
          <w:p>
            <w:pPr>
              <w:spacing w:after="0"/>
              <w:rPr>
                <w:sz w:val="19"/>
                <w:szCs w:val="19"/>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Nichols</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 Nichols</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Seiffer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Seiffer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J. Townsend</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J. Townsend</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General C. Robert Kehler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 Robert Kehler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Nolan</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Nolan</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Levy</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Levy</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Lt. General Judith A. Fedder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General Judith A. Fedder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778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352"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20"/>
                <w:szCs w:val="20"/>
                <w:b w:val="1"/>
                <w:bCs w:val="1"/>
                <w:color w:val="auto"/>
              </w:rPr>
              <w:t>List of Subsidiaries</w:t>
            </w:r>
          </w:p>
        </w:tc>
      </w:tr>
      <w:tr>
        <w:trPr>
          <w:trHeight w:val="183"/>
        </w:trPr>
        <w:tc>
          <w:tcPr>
            <w:tcW w:w="3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r>
      <w:tr>
        <w:trPr>
          <w:trHeight w:val="223"/>
        </w:trPr>
        <w:tc>
          <w:tcPr>
            <w:tcW w:w="3300" w:type="dxa"/>
            <w:vAlign w:val="bottom"/>
            <w:tcBorders>
              <w:left w:val="single" w:sz="8" w:color="auto"/>
              <w:bottom w:val="single" w:sz="8" w:color="auto"/>
            </w:tcBorders>
          </w:tcPr>
          <w:p>
            <w:pPr>
              <w:ind w:left="1300"/>
              <w:spacing w:after="0" w:line="223" w:lineRule="exact"/>
              <w:rPr>
                <w:sz w:val="20"/>
                <w:szCs w:val="20"/>
                <w:color w:val="auto"/>
              </w:rPr>
            </w:pPr>
            <w:r>
              <w:rPr>
                <w:rFonts w:ascii="Times New Roman" w:cs="Times New Roman" w:eastAsia="Times New Roman" w:hAnsi="Times New Roman"/>
                <w:sz w:val="20"/>
                <w:szCs w:val="20"/>
                <w:b w:val="1"/>
                <w:bCs w:val="1"/>
                <w:color w:val="auto"/>
              </w:rPr>
              <w:t>Name of Subsidiary</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ind w:left="240"/>
              <w:spacing w:after="0" w:line="223" w:lineRule="exact"/>
              <w:rPr>
                <w:sz w:val="20"/>
                <w:szCs w:val="20"/>
                <w:color w:val="auto"/>
              </w:rPr>
            </w:pPr>
            <w:r>
              <w:rPr>
                <w:rFonts w:ascii="Times New Roman" w:cs="Times New Roman" w:eastAsia="Times New Roman" w:hAnsi="Times New Roman"/>
                <w:sz w:val="20"/>
                <w:szCs w:val="20"/>
                <w:b w:val="1"/>
                <w:bCs w:val="1"/>
                <w:color w:val="auto"/>
              </w:rPr>
              <w:t>Jurisdiction of Formation</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Corporation</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Monocle Parent,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Aviation,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Component Solutions,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New Mexico</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Avborne Accessory Group,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Aircraft Composite Technologies,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Aircraft MSN 24125 Trust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Utah Trust</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27043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27469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27910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Ireland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Gables MSN 26343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Coral Gables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Coral Gables 2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Qwest Air Parts,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Q2 Aviation,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Tennessee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1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2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2 Sub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810"/>
        </w:trPr>
        <w:tc>
          <w:tcPr>
            <w:tcW w:w="3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We have issued our report dated March 8, 2024, with respect to the consolidated financial statements included in the Annual Report of AerSale Corporation on Form 10-K for the year ended December 31, 2023. We consent to the incorporation by reference of said report in the Registration Statements of Aersale Corporation on Forms S-8 (File No. 333-253424 and File No. 333-274663) and on Forms S-3 (File No. 333-262009 and File No. 333-276407).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98"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AerSale Corporation;</w:t>
      </w:r>
    </w:p>
    <w:p>
      <w:pPr>
        <w:spacing w:after="0" w:line="184"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18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7"/>
        </w:trPr>
        <w:tc>
          <w:tcPr>
            <w:tcW w:w="3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76"/>
        </w:trPr>
        <w:tc>
          <w:tcPr>
            <w:tcW w:w="3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98"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AerSale Corporation;</w:t>
      </w:r>
    </w:p>
    <w:p>
      <w:pPr>
        <w:spacing w:after="0" w:line="184"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8"/>
        </w:trPr>
        <w:tc>
          <w:tcPr>
            <w:tcW w:w="3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0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776"/>
        </w:trPr>
        <w:tc>
          <w:tcPr>
            <w:tcW w:w="30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AerSale Corporation (the “Company”) for the period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680" w:hanging="348"/>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18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8"/>
        </w:trPr>
        <w:tc>
          <w:tcPr>
            <w:tcW w:w="3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777"/>
        </w:trPr>
        <w:tc>
          <w:tcPr>
            <w:tcW w:w="3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AerSale Corporation (the “Company”) for the period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680" w:hanging="348"/>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8"/>
        </w:trPr>
        <w:tc>
          <w:tcPr>
            <w:tcW w:w="3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r>
      <w:tr>
        <w:trPr>
          <w:trHeight w:val="776"/>
        </w:trPr>
        <w:tc>
          <w:tcPr>
            <w:tcW w:w="3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AERSALE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Board of Directors (the “Board”) of AerSale Corporation (the “Company”) has determined that it is in the best interests of the Company and its stockholders to adopt this Clawback Policy (the “Policy”). In addition to any amounts that are to be recovered on behalf of the Company by the Securities and Exchange Commission pursuant to Section 304 of the Sarbanes-Oxley Act, this Policy enables the Company to recover the amount of Incentive Compensation (as defined below) paid to certain Covered Individuals (as defined below) in the instances described below. This Policy is effective as of December 1, 2023 (the “Effective Date”) and shall supersede and replace any prior similar clawback or recoupment policies adopted by the Company.</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Each Covered Individual must execute the acknowledgement in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of this Policy as soon as practicable after the later of: (i) the Effective Date; and (ii) the date on which the individual is designated a Covered Individual; provided, however, that the failure to execute such acknowledgement shall have no impact on the enforceability of this Policy.</w:t>
      </w:r>
    </w:p>
    <w:p>
      <w:pPr>
        <w:spacing w:after="0" w:line="172" w:lineRule="exact"/>
        <w:rPr>
          <w:sz w:val="20"/>
          <w:szCs w:val="20"/>
          <w:color w:val="auto"/>
        </w:rPr>
      </w:pPr>
    </w:p>
    <w:p>
      <w:pPr>
        <w:jc w:val="both"/>
        <w:ind w:firstLine="656"/>
        <w:spacing w:after="0" w:line="234" w:lineRule="auto"/>
        <w:tabs>
          <w:tab w:leader="none" w:pos="129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or a duly authorized Committee of the Board,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sole and express authority to interpret and administer this Policy. All determinations made by the Board or an authorized Committee, in the good faith exercise of its discretion, shall be final and binding on all affected Covered Individuals (as defined below). If the Board authorizes a committee to interpret and administer this Policy, all refences herein to the Board shall include any such authorized Committee. This Policy is intended to comply with Section 10D of the Securities Exchange Act of 1934, as amended (the “Exchange Act”), the rules of the Securities and Exchange Commission (the “SEC”), and Rule 5608 of the Nasdaq Stock Market LLC Rules (the “Nasdaq Clawback Rules”), and this Policy shall be interpreted, to the greatest extent possible, consistent with such intent. To the extent that any provision of this Policy is inconsistent with applicable law or the attendant regulations, in each case as then in effect, the Board shall administer this Policy to comply with the law or regulations then in effect.</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“Covered Individual” means any individual who is currently or was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formerly considered by the Company to be: (i) a Section 16 officer of the Company within the meaning of Section 16 of the Exchange Act and Rule 16a-1(f) promulgated thereunder, including the Company’s president, principal financial officer, principal accounting officer (or if there is no such person, the controller), any vice-president in charge of a principal business unit, division, or function, or any other officer who performs a policy making function, or any other person who performs similar policy-making functions for the Company; and (ii) any other individual who may from time to time be designated in writing to be subject to this Policy by the Board. An individual shall be considered a Covered Individual without regard to whether the individual was an employee of the Company at the time of the act or event that triggered a recovery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627380</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4" w:name="page95"/>
    <w:bookmarkEnd w:id="94"/>
    <w:p>
      <w:pPr>
        <w:jc w:val="both"/>
        <w:ind w:firstLine="656"/>
        <w:spacing w:after="0" w:line="235"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Incentive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Compensation” means and includes, but is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bonuses and other short-term and long-term cash incentives (including commissions), stock options, stock appreciation rights, restricted stock, restricted stock units, performance shares, performance units or any other equity-based compensation or synthetic equity-based compensation, provided, that in each case such compensation is granted, earned or vested based wholly or in part on the attainment of a Financial Reporting Measure (as defined below). Incentive Compensation also shall include any other plan, program or agreement that expressly incorporates or references the provisions of this Policy. For the avoidance of doubt, Incentive Compensation only includes amounts received after an individual becomes a Covered Individual.</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“Financial Reporting Measures”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173" w:lineRule="exact"/>
        <w:rPr>
          <w:sz w:val="20"/>
          <w:szCs w:val="20"/>
          <w:color w:val="auto"/>
        </w:rPr>
      </w:pPr>
    </w:p>
    <w:p>
      <w:pPr>
        <w:jc w:val="both"/>
        <w:ind w:firstLine="656"/>
        <w:spacing w:after="0" w:line="263" w:lineRule="auto"/>
        <w:tabs>
          <w:tab w:leader="none" w:pos="1296"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Recovery of Erroneously Awarded Incentive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is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recover Incentive Compensation from any Covered Individual in the following instances (except where the Board determines, in a manner consistent with the Nasdaq Clawback Rules, that recovery would be impracticable):</w:t>
      </w:r>
    </w:p>
    <w:p>
      <w:pPr>
        <w:spacing w:after="0" w:line="155" w:lineRule="exact"/>
        <w:rPr>
          <w:rFonts w:ascii="Times New Roman" w:cs="Times New Roman" w:eastAsia="Times New Roman" w:hAnsi="Times New Roman"/>
          <w:sz w:val="21"/>
          <w:szCs w:val="21"/>
          <w:b w:val="1"/>
          <w:bCs w:val="1"/>
          <w:color w:val="auto"/>
        </w:rPr>
      </w:pPr>
    </w:p>
    <w:p>
      <w:pPr>
        <w:jc w:val="both"/>
        <w:ind w:firstLine="1304"/>
        <w:spacing w:after="0" w:line="246" w:lineRule="auto"/>
        <w:tabs>
          <w:tab w:leader="none" w:pos="1944" w:val="left"/>
        </w:tabs>
        <w:numPr>
          <w:ilvl w:val="1"/>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Company is required to prepare an accounting restatement of its financial statements due to material noncompliance of the Company with any financial reporting requirements under the securities laws. This includes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this purpose, the date that the Company is required to prepare an accounting restatement is the first to occur of: (i) the date the Company’s Board concludes, or reasonably should have concluded, that the Company is required to prepare an accounting restatement (or if Board action is not required, the date the Company’s officers conclude, or reasonably should have concluded, the Company is required to prepare an accounting restatement); or (ii) the date a court, regulator or other legally authorized body directs the Company to prepare an accounting restatement.</w:t>
      </w:r>
    </w:p>
    <w:p>
      <w:pPr>
        <w:spacing w:after="0" w:line="166" w:lineRule="exact"/>
        <w:rPr>
          <w:rFonts w:ascii="Times New Roman" w:cs="Times New Roman" w:eastAsia="Times New Roman" w:hAnsi="Times New Roman"/>
          <w:sz w:val="21"/>
          <w:szCs w:val="21"/>
          <w:b w:val="1"/>
          <w:bCs w:val="1"/>
          <w:color w:val="auto"/>
        </w:rPr>
      </w:pPr>
    </w:p>
    <w:p>
      <w:pPr>
        <w:ind w:firstLine="656"/>
        <w:spacing w:after="0" w:line="262" w:lineRule="auto"/>
        <w:tabs>
          <w:tab w:leader="none" w:pos="129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Amount of Recovery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amount of Incentive Compensation that is to be recovered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determined by reference to the following:</w:t>
      </w:r>
    </w:p>
    <w:p>
      <w:pPr>
        <w:spacing w:after="0" w:line="153" w:lineRule="exact"/>
        <w:rPr>
          <w:rFonts w:ascii="Times New Roman" w:cs="Times New Roman" w:eastAsia="Times New Roman" w:hAnsi="Times New Roman"/>
          <w:sz w:val="22"/>
          <w:szCs w:val="22"/>
          <w:b w:val="1"/>
          <w:bCs w:val="1"/>
          <w:color w:val="auto"/>
        </w:rPr>
      </w:pPr>
    </w:p>
    <w:p>
      <w:pPr>
        <w:jc w:val="both"/>
        <w:ind w:firstLine="1304"/>
        <w:spacing w:after="0" w:line="235" w:lineRule="auto"/>
        <w:tabs>
          <w:tab w:leader="none" w:pos="1944"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an occurrence satisfying the requirements set out in Section 4 of this Policy, the amount subject to recovery (“Erroneously Awarded Compensation”) is the amount of Incentive Compensation received after October 2, 2023, which is based upon the three (3) completed fiscal years immediately preceding the date on which the Company is required to prepare an accounting restatement that exceeds the amount of Incentive Compensation that otherwise would have been received had it been determined based on the restated amounts (and such amount must be calculated without regard to any taxes paid). If the Erroneously Awarded Compensation amount cannot be determined based on a calculation directly from the information in the accounting restatement, then the Erroneously Awarded Compensation amount must be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5" w:name="page96"/>
    <w:bookmarkEnd w:id="95"/>
    <w:p>
      <w:pPr>
        <w:jc w:val="both"/>
        <w:spacing w:after="0" w:line="244" w:lineRule="auto"/>
        <w:rPr>
          <w:sz w:val="20"/>
          <w:szCs w:val="20"/>
          <w:color w:val="auto"/>
        </w:rPr>
      </w:pPr>
      <w:r>
        <w:rPr>
          <w:rFonts w:ascii="Times New Roman" w:cs="Times New Roman" w:eastAsia="Times New Roman" w:hAnsi="Times New Roman"/>
          <w:sz w:val="22"/>
          <w:szCs w:val="22"/>
          <w:color w:val="auto"/>
        </w:rPr>
        <w:t>on a reasonable estimate of the effect of the accounting restatement on the stock price or total shareholder return upon which the Incentive Compensation was received, and the Company must document and maintain documentation of its determination of that reasonable estimate and provide such documentation to Nasdaq.</w:t>
      </w:r>
    </w:p>
    <w:p>
      <w:pPr>
        <w:spacing w:after="0" w:line="170" w:lineRule="exact"/>
        <w:rPr>
          <w:sz w:val="20"/>
          <w:szCs w:val="20"/>
          <w:color w:val="auto"/>
        </w:rPr>
      </w:pPr>
    </w:p>
    <w:p>
      <w:pPr>
        <w:ind w:firstLine="656"/>
        <w:spacing w:after="0" w:line="262"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Method of Recovery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will determine, in its sole discretion, the method for recovering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Compensation pursuant to the terms of this Policy, which may include, without limitation:</w:t>
      </w:r>
    </w:p>
    <w:p>
      <w:pPr>
        <w:spacing w:after="0" w:line="15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206"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 (including, without limitation, requiring the return of common stock);</w:t>
      </w:r>
    </w:p>
    <w:p>
      <w:pPr>
        <w:spacing w:after="0" w:line="173" w:lineRule="exact"/>
        <w:rPr>
          <w:rFonts w:ascii="Times New Roman" w:cs="Times New Roman" w:eastAsia="Times New Roman" w:hAnsi="Times New Roman"/>
          <w:sz w:val="22"/>
          <w:szCs w:val="22"/>
          <w:b w:val="1"/>
          <w:bCs w:val="1"/>
          <w:color w:val="auto"/>
        </w:rPr>
      </w:pPr>
    </w:p>
    <w:p>
      <w:pPr>
        <w:jc w:val="both"/>
        <w:ind w:right="20" w:firstLine="1304"/>
        <w:spacing w:after="0" w:line="244" w:lineRule="auto"/>
        <w:tabs>
          <w:tab w:leader="none" w:pos="1944"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offsetting the amount to be recovered against any Incentive Compensation otherwise owed by the Company to the Covered Individual, except to the extent that such an offset violates the provisions of Section 409A of the Internal Revenue Code of 1986, as amended, or applicable regulations;</w:t>
      </w:r>
    </w:p>
    <w:p>
      <w:pPr>
        <w:spacing w:after="0" w:line="17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cancelling outstanding vested or unvested equity awards; and/or</w:t>
      </w:r>
    </w:p>
    <w:p>
      <w:pPr>
        <w:spacing w:after="0" w:line="206"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taking any other remedial and recovery action permitted by law, as determined by the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Board.</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not indemnify any Covered Individual against the loss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Incentive Compensation recovered pursuant to the terms of this Policy or any claims relating to the Company’s enforcement of its rights under this Policy.</w:t>
      </w:r>
    </w:p>
    <w:p>
      <w:pPr>
        <w:spacing w:after="0" w:line="167" w:lineRule="exact"/>
        <w:rPr>
          <w:rFonts w:ascii="Times New Roman" w:cs="Times New Roman" w:eastAsia="Times New Roman" w:hAnsi="Times New Roman"/>
          <w:sz w:val="22"/>
          <w:szCs w:val="22"/>
          <w:b w:val="1"/>
          <w:bCs w:val="1"/>
          <w:color w:val="auto"/>
        </w:rPr>
      </w:pPr>
    </w:p>
    <w:p>
      <w:pPr>
        <w:ind w:firstLine="656"/>
        <w:spacing w:after="0" w:line="262"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binding and enforceable against all Covered Individuals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beneficiaries, heirs, executors, administrators or other legal representatives.</w:t>
      </w:r>
    </w:p>
    <w:p>
      <w:pPr>
        <w:spacing w:after="0" w:line="149" w:lineRule="exact"/>
        <w:rPr>
          <w:rFonts w:ascii="Times New Roman" w:cs="Times New Roman" w:eastAsia="Times New Roman" w:hAnsi="Times New Roman"/>
          <w:sz w:val="22"/>
          <w:szCs w:val="22"/>
          <w:b w:val="1"/>
          <w:bCs w:val="1"/>
          <w:color w:val="auto"/>
        </w:rPr>
      </w:pPr>
    </w:p>
    <w:p>
      <w:pPr>
        <w:jc w:val="both"/>
        <w:ind w:right="20" w:firstLine="656"/>
        <w:spacing w:after="0" w:line="246"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Remedies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not restrict the rights of the Company or of the Board to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actions or to pursue any other remedies deemed appropriate under the circumstances and pursuant to applicable law.</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amend this Policy in its sole discretion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and for any reason, including to comply with the requirements of any applicable law, rule, or regulation including the Nasdaq Clawback Rules. The Board may terminate this Policy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6" w:name="page97"/>
    <w:bookmarkEnd w:id="96"/>
    <w:p>
      <w:pPr>
        <w:jc w:val="both"/>
        <w:ind w:firstLine="656"/>
        <w:spacing w:after="0" w:line="236" w:lineRule="auto"/>
        <w:tabs>
          <w:tab w:leader="none" w:pos="12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Recovery Rights</w:t>
      </w:r>
      <w:r>
        <w:rPr>
          <w:rFonts w:ascii="Times New Roman" w:cs="Times New Roman" w:eastAsia="Times New Roman" w:hAnsi="Times New Roman"/>
          <w:sz w:val="22"/>
          <w:szCs w:val="22"/>
          <w:color w:val="auto"/>
        </w:rPr>
        <w:t>. The Board intends that this Policy will be applied to the fullest extent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37" w:lineRule="auto"/>
        <w:tabs>
          <w:tab w:leader="none" w:pos="12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Disclosure</w:t>
      </w:r>
      <w:r>
        <w:rPr>
          <w:rFonts w:ascii="Times New Roman" w:cs="Times New Roman" w:eastAsia="Times New Roman" w:hAnsi="Times New Roman"/>
          <w:sz w:val="22"/>
          <w:szCs w:val="22"/>
          <w:color w:val="auto"/>
        </w:rPr>
        <w:t>. The Company will comply with all applicable securities laws, rules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SEC and Nasdaq Clawback Rules disclosure requirements regarding executive compensation. The Company may also, but is not obligated to, provide additional disclosure beyond that required by applicable law when the Company deems it to be appropriate and determines that such disclosure is in the best interests of the Company and its stockholders. This Policy shall be filed as an exhibit to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 OF CLAWBACK POLICY</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undersigned acknowledges and agrees that the undersigned: (i) is, and will be, subject to the Clawback Policy to which this acknowledgement is appended; and (ii) will abide by the terms of this Policy, including by returning Erroneously Awarded Compensation pursuant to whatever method the Board determines is advisable to achieve prompt recovery of such Erroneously Awarded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17145</wp:posOffset>
            </wp:positionV>
            <wp:extent cx="26828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17145</wp:posOffset>
            </wp:positionV>
            <wp:extent cx="26828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17145</wp:posOffset>
            </wp:positionV>
            <wp:extent cx="26828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amp;"/>
      <w:numFmt w:val="bullet"/>
      <w:start w:val="1"/>
    </w:lvl>
  </w:abstractNum>
  <w:abstractNum w:abstractNumId="20">
    <w:nsid w:val="3A95F874"/>
    <w:multiLevelType w:val="hybridMultilevel"/>
    <w:lvl w:ilvl="0">
      <w:lvlJc w:val="left"/>
      <w:lvlText w:val="●"/>
      <w:numFmt w:val="bullet"/>
      <w:start w:val="1"/>
    </w:lvl>
    <w:lvl w:ilvl="1">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lvl w:ilvl="1">
      <w:lvlJc w:val="left"/>
      <w:lvlText w:val="%2"/>
      <w:numFmt w:val="decimal"/>
      <w:start w:val="104"/>
    </w:lvl>
  </w:abstractNum>
  <w:abstractNum w:abstractNumId="26">
    <w:nsid w:val="22221A70"/>
    <w:multiLevelType w:val="hybridMultilevel"/>
    <w:lvl w:ilvl="0">
      <w:lvlJc w:val="left"/>
      <w:lvlText w:val="**"/>
      <w:numFmt w:val="bullet"/>
      <w:start w:val="1"/>
    </w:lvl>
    <w:lvl w:ilvl="1">
      <w:lvlJc w:val="left"/>
      <w:lvlText w:val="%2"/>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3"/>
    </w:lvl>
  </w:abstractNum>
  <w:abstractNum w:abstractNumId="35">
    <w:nsid w:val="77465F01"/>
    <w:multiLevelType w:val="hybridMultilevel"/>
    <w:lvl w:ilvl="0">
      <w:lvlJc w:val="left"/>
      <w:lvlText w:val="%1."/>
      <w:numFmt w:val="decimal"/>
      <w:start w:val="4"/>
    </w:lvl>
    <w:lvl w:ilvl="1">
      <w:lvlJc w:val="left"/>
      <w:lvlText w:val="(%2)"/>
      <w:numFmt w:val="lowerLetter"/>
      <w:start w:val="1"/>
    </w:lvl>
  </w:abstractNum>
  <w:abstractNum w:abstractNumId="36">
    <w:nsid w:val="7724C67E"/>
    <w:multiLevelType w:val="hybridMultilevel"/>
    <w:lvl w:ilvl="0">
      <w:lvlJc w:val="left"/>
      <w:lvlText w:val="%1."/>
      <w:numFmt w:val="decimal"/>
      <w:start w:val="6"/>
    </w:lvl>
    <w:lvl w:ilvl="1">
      <w:lvlJc w:val="left"/>
      <w:lvlText w:val="(%2)"/>
      <w:numFmt w:val="lowerLetter"/>
      <w:start w:val="1"/>
    </w:lvl>
  </w:abstractNum>
  <w:abstractNum w:abstractNumId="37">
    <w:nsid w:val="5C482A9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8" Type="http://schemas.openxmlformats.org/officeDocument/2006/relationships/image" Target="media/image100.png"/><Relationship Id="rId125" Type="http://schemas.openxmlformats.org/officeDocument/2006/relationships/image" Target="media/image101.png"/><Relationship Id="rId140"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07" Type="http://schemas.openxmlformats.org/officeDocument/2006/relationships/hyperlink" Target="https://www.sec.gov/Archives/edgar/data/1754170/000110465919070782/tm1924738d1_ex2-1.htm" TargetMode="External"/><Relationship Id="rId109" Type="http://schemas.openxmlformats.org/officeDocument/2006/relationships/hyperlink" Target="https://www.sec.gov/Archives/edgar/data/1754170/000110465920094881/tm2020432d1_ex2-1.htm" TargetMode="External"/><Relationship Id="rId110" Type="http://schemas.openxmlformats.org/officeDocument/2006/relationships/hyperlink" Target="https://www.sec.gov/Archives/edgar/data/1754170/000110465920103066/tm2029921d1_ex2-1.htm" TargetMode="External"/><Relationship Id="rId111" Type="http://schemas.openxmlformats.org/officeDocument/2006/relationships/hyperlink" Target="https://www.sec.gov/Archives/edgar/data/1754170/000110465920136508/tm2038647d1_ex10-5.htm" TargetMode="External"/><Relationship Id="rId112" Type="http://schemas.openxmlformats.org/officeDocument/2006/relationships/hyperlink" Target="https://www.sec.gov/Archives/edgar/data/1797381/000110465920114657/tm2025456d6_ex3-1.htm" TargetMode="External"/><Relationship Id="rId113" Type="http://schemas.openxmlformats.org/officeDocument/2006/relationships/hyperlink" Target="https://www.sec.gov/Archives/edgar/data/1754170/000110465920139143/tm2039148d1_ex3-2.htm" TargetMode="External"/><Relationship Id="rId114" Type="http://schemas.openxmlformats.org/officeDocument/2006/relationships/hyperlink" Target="https://www.sec.gov/Archives/edgar/data/1754170/000155837021010881/asle-20210630xex3d3.htm" TargetMode="External"/><Relationship Id="rId115" Type="http://schemas.openxmlformats.org/officeDocument/2006/relationships/hyperlink" Target="https://www.sec.gov/Archives/edgar/data/1754170/000110465921082976/tm2120109d1_ex3-1.htm" TargetMode="External"/><Relationship Id="rId116" Type="http://schemas.openxmlformats.org/officeDocument/2006/relationships/hyperlink" Target="https://www.sec.gov/Archives/edgar/data/1797381/000110465920114657/tm2025456d6_ex3-2.htm" TargetMode="External"/><Relationship Id="rId117" Type="http://schemas.openxmlformats.org/officeDocument/2006/relationships/hyperlink" Target="https://www.sec.gov/Archives/edgar/data/1754170/000110465920139143/tm2039148d1_ex3-4.htm" TargetMode="External"/><Relationship Id="rId118" Type="http://schemas.openxmlformats.org/officeDocument/2006/relationships/hyperlink" Target="https://www.sec.gov/Archives/edgar/data/1797381/000110465920020784/tv535584_ex4-2.htm" TargetMode="External"/><Relationship Id="rId119" Type="http://schemas.openxmlformats.org/officeDocument/2006/relationships/hyperlink" Target="https://www.sec.gov/Archives/edgar/data/1797381/000110465920020784/tv535584_ex4-3.htm" TargetMode="External"/><Relationship Id="rId120" Type="http://schemas.openxmlformats.org/officeDocument/2006/relationships/hyperlink" Target="https://www.sec.gov/Archives/edgar/data/1754170/000114420419006634/tv513034_ex4-1.htm" TargetMode="External"/><Relationship Id="rId121" Type="http://schemas.openxmlformats.org/officeDocument/2006/relationships/hyperlink" Target="https://www.sec.gov/Archives/edgar/data/1754170/000110465920139143/tm2039148d1_ex10-9.htm" TargetMode="External"/><Relationship Id="rId122" Type="http://schemas.openxmlformats.org/officeDocument/2006/relationships/hyperlink" Target="https://www.sec.gov/Archives/edgar/data/1754170/000155837022003617/asle-20211231xex4d4.htm" TargetMode="External"/><Relationship Id="rId123" Type="http://schemas.openxmlformats.org/officeDocument/2006/relationships/hyperlink" Target="https://www.sec.gov/Archives/edgar/data/1754170/000110465920136508/tm2038647d1_ex10-4.htm" TargetMode="External"/><Relationship Id="rId124" Type="http://schemas.openxmlformats.org/officeDocument/2006/relationships/hyperlink" Target="https://www.sec.gov/Archives/edgar/data/1754170/000110465920139143/tm2039148d1_ex10-7.htm" TargetMode="External"/><Relationship Id="rId126" Type="http://schemas.openxmlformats.org/officeDocument/2006/relationships/hyperlink" Target="https://www.sec.gov/Archives/edgar/data/1754170/000110465921037098/tm211117d1_ex10-10.htm" TargetMode="External"/><Relationship Id="rId127" Type="http://schemas.openxmlformats.org/officeDocument/2006/relationships/hyperlink" Target="https://www.sec.gov/Archives/edgar/data/1754170/000110465921037098/tm211117d1_ex10-12.htm" TargetMode="External"/><Relationship Id="rId128" Type="http://schemas.openxmlformats.org/officeDocument/2006/relationships/hyperlink" Target="https://www.sec.gov/Archives/edgar/data/1754170/000110465921037098/tm211117d1_ex10-13.htm" TargetMode="External"/><Relationship Id="rId129" Type="http://schemas.openxmlformats.org/officeDocument/2006/relationships/hyperlink" Target="https://www.sec.gov/Archives/edgar/data/1754170/000110465921037098/tm211117d1_ex10-14.htm" TargetMode="External"/><Relationship Id="rId130" Type="http://schemas.openxmlformats.org/officeDocument/2006/relationships/hyperlink" Target="https://www.sec.gov/Archives/edgar/data/1754170/000110465921037098/tm211117d1_ex10-15.htm" TargetMode="External"/><Relationship Id="rId131" Type="http://schemas.openxmlformats.org/officeDocument/2006/relationships/hyperlink" Target="https://www.sec.gov/Archives/edgar/data/1754170/000110465921037098/tm211117d1_ex10-16.htm" TargetMode="External"/><Relationship Id="rId132" Type="http://schemas.openxmlformats.org/officeDocument/2006/relationships/hyperlink" Target="https://www.sec.gov/Archives/edgar/data/1797381/000110465920020784/tv535584_ex10-8.htm" TargetMode="External"/><Relationship Id="rId133" Type="http://schemas.openxmlformats.org/officeDocument/2006/relationships/hyperlink" Target="https://www.sec.gov/Archives/edgar/data/1797381/000110465920020784/tv535584_ex10-9.htm" TargetMode="External"/><Relationship Id="rId134" Type="http://schemas.openxmlformats.org/officeDocument/2006/relationships/hyperlink" Target="https://www.sec.gov/Archives/edgar/data/1797381/000110465920020784/tv535584_ex10-1.htm" TargetMode="External"/><Relationship Id="rId135" Type="http://schemas.openxmlformats.org/officeDocument/2006/relationships/hyperlink" Target="https://www.sec.gov/Archives/edgar/data/1754170/000110465921026941/tm217468d1_ex99-2.htm" TargetMode="External"/><Relationship Id="rId136" Type="http://schemas.openxmlformats.org/officeDocument/2006/relationships/hyperlink" Target="https://www.sec.gov/Archives/edgar/data/1797381/000110465920114657/tm2025456d6_ex10-11.htm" TargetMode="External"/><Relationship Id="rId137" Type="http://schemas.openxmlformats.org/officeDocument/2006/relationships/hyperlink" Target="https://www.sec.gov/Archives/edgar/data/1754170/000110465921037098/tm211117d1_ex10-22.htm" TargetMode="External"/><Relationship Id="rId138" Type="http://schemas.openxmlformats.org/officeDocument/2006/relationships/hyperlink" Target="https://www.sec.gov/Archives/edgar/data/1754170/000110465921037098/tm211117d1_ex10-23.htm" TargetMode="External"/><Relationship Id="rId139" Type="http://schemas.openxmlformats.org/officeDocument/2006/relationships/hyperlink" Target="https://www.sec.gov/Archives/edgar/data/1754170/000110465921037098/tm211117d1_ex10-24.htm" TargetMode="External"/><Relationship Id="rId141" Type="http://schemas.openxmlformats.org/officeDocument/2006/relationships/hyperlink" Target="https://www.sec.gov/Archives/edgar/data/1754170/000155837022012743/asle-20220630xex10d25.htm" TargetMode="External"/><Relationship Id="rId142" Type="http://schemas.openxmlformats.org/officeDocument/2006/relationships/hyperlink" Target="https://www.sec.gov/Archives/edgar/data/1754170/000155837022012743/asle-20220630xex10d26.htm" TargetMode="External"/><Relationship Id="rId143" Type="http://schemas.openxmlformats.org/officeDocument/2006/relationships/hyperlink" Target="https://www.sec.gov/Archives/edgar/data/1754170/000155837023014056/asle-20230630xex10d22.htm" TargetMode="External"/><Relationship Id="rId144" Type="http://schemas.openxmlformats.org/officeDocument/2006/relationships/hyperlink" Target="https://www.sec.gov/Archives/edgar/data/1754170/000155837023014056/asle-20230630xex10d23.htm" TargetMode="External"/><Relationship Id="rId145" Type="http://schemas.openxmlformats.org/officeDocument/2006/relationships/hyperlink" Target="https://www.sec.gov/Archives/edgar/data/1754170/000155837023012588/asle-20230725xex1d1.htm" TargetMode="External"/><Relationship Id="rId146" Type="http://schemas.openxmlformats.org/officeDocument/2006/relationships/hyperlink" Target="https://www.sec.gov/Archives/edgar/data/1754170/000110465923103245/tm2326746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2024-03-08T05:39:15Z</dcterms:created>
  <dcterms:modified xsi:type="dcterms:W3CDTF">2024-03-08T05:39:15Z</dcterms:modified>
</cp:coreProperties>
</file>