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sle-20260925x8k.htm"/>
      <w:bookmarkStart w:id="1" w:name="ksasle20260925x8k"/>
      <w:bookmarkEnd w:id="0"/>
      <w:bookmarkEnd w:id="1"/>
      <w:r>
        <w:rPr/>
        <w:t>​</w:t>
      </w:r>
    </w:p>
    <w:p>
      <w:pPr>
        <w:pStyle w:val="TextBody"/>
        <w:pBdr>
          <w:top w:val="single" w:sz="24" w:space="1" w:color="000000"/>
          <w:bottom w:val="single" w:sz="8" w:space="1" w:color="000000"/>
        </w:pBdr>
        <w:bidi w:val="0"/>
        <w:spacing w:before="0" w:after="0"/>
        <w:ind w:left="115"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4c5cb253_476c_477c_9a41_70ed696c58d7"/>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25,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AERSALE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dMFeivFBQUe2r-o8DnJY6g_2_2"/>
      <w:bookmarkStart w:id="4" w:name="Tc_fClzfvhDH0yJO7oGnJ8fRg_2_1"/>
      <w:bookmarkStart w:id="5" w:name="Tc_2gFs3Zzlt0iQp0oeBUdx1g_2_0"/>
      <w:bookmarkStart w:id="6" w:name="_f09117fd_76ea_49f7_8497_6682ca20b3fb"/>
      <w:bookmarkStart w:id="7" w:name="Tc_dMFeivFBQUe2r-o8DnJY6g_2_2"/>
      <w:bookmarkStart w:id="8" w:name="Tc_fClzfvhDH0yJO7oGnJ8fRg_2_1"/>
      <w:bookmarkStart w:id="9" w:name="Tc_2gFs3Zzlt0iQp0oeBUdx1g_2_0"/>
      <w:bookmarkStart w:id="10" w:name="_f09117fd_76ea_49f7_8497_6682ca20b3fb"/>
      <w:bookmarkEnd w:id="7"/>
      <w:bookmarkEnd w:id="8"/>
      <w:bookmarkEnd w:id="9"/>
      <w:bookmarkEnd w:id="10"/>
    </w:p>
    <w:tbl>
      <w:tblPr>
        <w:tblW w:w="7263" w:type="dxa"/>
        <w:jc w:val="left"/>
        <w:tblInd w:w="0" w:type="dxa"/>
        <w:tblLayout w:type="fixed"/>
        <w:tblCellMar>
          <w:top w:w="0" w:type="dxa"/>
          <w:left w:w="0" w:type="dxa"/>
          <w:bottom w:w="0" w:type="dxa"/>
          <w:right w:w="0" w:type="dxa"/>
        </w:tblCellMar>
      </w:tblPr>
      <w:tblGrid>
        <w:gridCol w:w="2461"/>
        <w:gridCol w:w="2296"/>
        <w:gridCol w:w="250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Texas</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001-38801</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84-3976002</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w:t>
              <w:br/>
              <w:t>Number)</w:t>
            </w:r>
          </w:p>
        </w:tc>
      </w:tr>
    </w:tbl>
    <w:p>
      <w:pPr>
        <w:pStyle w:val="TextBody"/>
        <w:bidi w:val="0"/>
        <w:spacing w:before="0" w:after="0"/>
        <w:ind w:left="0" w:right="0" w:hanging="0"/>
        <w:jc w:val="center"/>
        <w:rPr/>
      </w:pPr>
      <w:r>
        <w:rPr/>
        <w:t>​</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9850 NW 41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Suite 400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Doral, FL</w:t>
      </w:r>
      <w:r>
        <w:rPr>
          <w:rFonts w:ascii="Times New Roman;Times;serif" w:hAnsi="Times New Roman;Times;serif"/>
          <w:sz w:val="20"/>
        </w:rPr>
        <w:t xml:space="preserve"> </w:t>
      </w:r>
      <w:r>
        <w:rPr>
          <w:rFonts w:ascii="Times New Roman;Times;serif" w:hAnsi="Times New Roman;Times;serif"/>
          <w:b/>
          <w:sz w:val="20"/>
        </w:rPr>
        <w:t>33178</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(305) 764-3200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oJHCX8qZMUOQYbqgLcRCOQ_4_2"/>
      <w:bookmarkStart w:id="12" w:name="Tc_UAVVOfHF3ESST5NlzCBQlg_3_2"/>
      <w:bookmarkStart w:id="13" w:name="Tc_ll4eTnp1EEiD1J-SQis_ZQ_2_2"/>
      <w:bookmarkStart w:id="14" w:name="Tc_TfGB8iIWe0yNhfgVhRMq5Q_1_2"/>
      <w:bookmarkStart w:id="15" w:name="_3e74a944_25c9_4b83_b745_5acbda360521"/>
      <w:bookmarkStart w:id="16" w:name="Tc_oJHCX8qZMUOQYbqgLcRCOQ_4_2"/>
      <w:bookmarkStart w:id="17" w:name="Tc_UAVVOfHF3ESST5NlzCBQlg_3_2"/>
      <w:bookmarkStart w:id="18" w:name="Tc_ll4eTnp1EEiD1J-SQis_ZQ_2_2"/>
      <w:bookmarkStart w:id="19" w:name="Tc_TfGB8iIWe0yNhfgVhRMq5Q_1_2"/>
      <w:bookmarkStart w:id="20" w:name="_3e74a944_25c9_4b83_b745_5acbda360521"/>
      <w:bookmarkEnd w:id="16"/>
      <w:bookmarkEnd w:id="17"/>
      <w:bookmarkEnd w:id="18"/>
      <w:bookmarkEnd w:id="19"/>
      <w:bookmarkEnd w:id="20"/>
    </w:p>
    <w:tbl>
      <w:tblPr>
        <w:tblW w:w="9621" w:type="dxa"/>
        <w:jc w:val="left"/>
        <w:tblInd w:w="0" w:type="dxa"/>
        <w:tblLayout w:type="fixed"/>
        <w:tblCellMar>
          <w:top w:w="0" w:type="dxa"/>
          <w:left w:w="0" w:type="dxa"/>
          <w:bottom w:w="0" w:type="dxa"/>
          <w:right w:w="0" w:type="dxa"/>
        </w:tblCellMar>
      </w:tblPr>
      <w:tblGrid>
        <w:gridCol w:w="124"/>
        <w:gridCol w:w="316"/>
        <w:gridCol w:w="91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918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160" w:after="0"/>
              <w:ind w:left="0" w:right="0" w:hanging="0"/>
              <w:jc w:val="left"/>
              <w:rPr/>
            </w:pPr>
            <w:r>
              <w:rPr/>
              <w:t>☐</w:t>
            </w:r>
          </w:p>
        </w:tc>
        <w:tc>
          <w:tcPr>
            <w:tcW w:w="9181" w:type="dxa"/>
            <w:tcBorders/>
            <w:vAlign w:val="center"/>
          </w:tcPr>
          <w:p>
            <w:pPr>
              <w:pStyle w:val="TableContents"/>
              <w:bidi w:val="0"/>
              <w:spacing w:before="16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160" w:after="0"/>
              <w:ind w:left="0" w:right="0" w:hanging="0"/>
              <w:jc w:val="left"/>
              <w:rPr/>
            </w:pPr>
            <w:r>
              <w:rPr/>
              <w:t>☐</w:t>
            </w:r>
          </w:p>
        </w:tc>
        <w:tc>
          <w:tcPr>
            <w:tcW w:w="9181" w:type="dxa"/>
            <w:tcBorders/>
            <w:vAlign w:val="center"/>
          </w:tcPr>
          <w:p>
            <w:pPr>
              <w:pStyle w:val="TableContents"/>
              <w:bidi w:val="0"/>
              <w:spacing w:before="16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160" w:after="0"/>
              <w:ind w:left="0" w:right="0" w:hanging="0"/>
              <w:jc w:val="left"/>
              <w:rPr/>
            </w:pPr>
            <w:r>
              <w:rPr/>
              <w:t>☐</w:t>
            </w:r>
          </w:p>
        </w:tc>
        <w:tc>
          <w:tcPr>
            <w:tcW w:w="9181" w:type="dxa"/>
            <w:tcBorders/>
            <w:vAlign w:val="center"/>
          </w:tcPr>
          <w:p>
            <w:pPr>
              <w:pStyle w:val="TableContents"/>
              <w:bidi w:val="0"/>
              <w:spacing w:before="16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vhlzMV5uM0-wzsx3tymiaQ_2_2"/>
      <w:bookmarkStart w:id="22" w:name="Tc_bFU-1YetqUSu0VSbx0Edcw_1_2"/>
      <w:bookmarkStart w:id="23" w:name="Tc_gfUIoZ4CXE2xDgE-L4FVXQ_1_1"/>
      <w:bookmarkStart w:id="24" w:name="Tc_ZIaGARlatEu1n2IS1subuA_1_0"/>
      <w:bookmarkStart w:id="25" w:name="_971eb4f8_9613_439f_a272_9e305f2c3bed"/>
      <w:bookmarkStart w:id="26" w:name="Tc_vhlzMV5uM0-wzsx3tymiaQ_2_2"/>
      <w:bookmarkStart w:id="27" w:name="Tc_bFU-1YetqUSu0VSbx0Edcw_1_2"/>
      <w:bookmarkStart w:id="28" w:name="Tc_gfUIoZ4CXE2xDgE-L4FVXQ_1_1"/>
      <w:bookmarkStart w:id="29" w:name="Tc_ZIaGARlatEu1n2IS1subuA_1_0"/>
      <w:bookmarkStart w:id="30" w:name="_971eb4f8_9613_439f_a272_9e305f2c3bed"/>
      <w:bookmarkEnd w:id="26"/>
      <w:bookmarkEnd w:id="27"/>
      <w:bookmarkEnd w:id="28"/>
      <w:bookmarkEnd w:id="29"/>
      <w:bookmarkEnd w:id="30"/>
    </w:p>
    <w:tbl>
      <w:tblPr>
        <w:tblW w:w="9393" w:type="dxa"/>
        <w:jc w:val="left"/>
        <w:tblInd w:w="0" w:type="dxa"/>
        <w:tblLayout w:type="fixed"/>
        <w:tblCellMar>
          <w:top w:w="0" w:type="dxa"/>
          <w:left w:w="0" w:type="dxa"/>
          <w:bottom w:w="0" w:type="dxa"/>
          <w:right w:w="0" w:type="dxa"/>
        </w:tblCellMar>
      </w:tblPr>
      <w:tblGrid>
        <w:gridCol w:w="3871"/>
        <w:gridCol w:w="1696"/>
        <w:gridCol w:w="382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871" w:type="dxa"/>
            <w:tcBorders>
              <w:top w:val="single" w:sz="8" w:space="0" w:color="000000"/>
              <w:left w:val="single" w:sz="8" w:space="0" w:color="000000"/>
              <w:bottom w:val="single" w:sz="8" w:space="0" w:color="000000"/>
              <w:right w:val="single" w:sz="8" w:space="0" w:color="000000"/>
            </w:tcBorders>
            <w:tcMar>
              <w:top w:w="28" w:type="dxa"/>
              <w:left w:w="105"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871" w:type="dxa"/>
            <w:tcBorders>
              <w:left w:val="single" w:sz="8" w:space="0" w:color="000000"/>
              <w:right w:val="single" w:sz="8" w:space="0" w:color="000000"/>
            </w:tcBorders>
            <w:tcMar>
              <w:left w:w="105"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par value $0.0001 per share</w:t>
            </w:r>
          </w:p>
        </w:tc>
        <w:tc>
          <w:tcPr>
            <w:tcW w:w="1696" w:type="dxa"/>
            <w:tcBorders>
              <w:right w:val="single" w:sz="8"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ASLE</w:t>
            </w:r>
          </w:p>
        </w:tc>
        <w:tc>
          <w:tcPr>
            <w:tcW w:w="3826" w:type="dxa"/>
            <w:tcBorders>
              <w:right w:val="single" w:sz="8"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Nasdaq</w:t>
            </w:r>
            <w:r>
              <w:rPr>
                <w:rFonts w:ascii="Times New Roman;Times;serif" w:hAnsi="Times New Roman;Times;serif"/>
                <w:sz w:val="20"/>
              </w:rPr>
              <w:t xml:space="preserve"> </w:t>
            </w:r>
            <w:r>
              <w:rPr>
                <w:rFonts w:ascii="Times New Roman;Times;serif" w:hAnsi="Times New Roman;Times;serif"/>
                <w:b/>
                <w:sz w:val="20"/>
              </w:rPr>
              <w:t>Capital Market</w:t>
            </w:r>
          </w:p>
        </w:tc>
      </w:tr>
      <w:tr>
        <w:trPr/>
        <w:tc>
          <w:tcPr>
            <w:tcW w:w="3871" w:type="dxa"/>
            <w:tcBorders>
              <w:left w:val="single" w:sz="8" w:space="0" w:color="000000"/>
              <w:bottom w:val="single" w:sz="8" w:space="0" w:color="000000"/>
              <w:right w:val="single" w:sz="8" w:space="0" w:color="000000"/>
            </w:tcBorders>
            <w:tcMar>
              <w:left w:w="105" w:type="dxa"/>
              <w:bottom w:w="28" w:type="dxa"/>
              <w:right w:w="28" w:type="dxa"/>
            </w:tcMar>
            <w:vAlign w:val="center"/>
          </w:tcPr>
          <w:p>
            <w:pPr>
              <w:pStyle w:val="TableContents"/>
              <w:bidi w:val="0"/>
              <w:spacing w:before="0" w:after="0"/>
              <w:ind w:left="0" w:right="0" w:hanging="0"/>
              <w:jc w:val="left"/>
              <w:rPr/>
            </w:pPr>
            <w:r>
              <w:rPr/>
              <w:t>​</w:t>
            </w:r>
          </w:p>
        </w:tc>
        <w:tc>
          <w:tcPr>
            <w:tcW w:w="169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382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b/>
          <w:sz w:val="20"/>
        </w:rPr>
      </w:pPr>
      <w:bookmarkStart w:id="31" w:name="_95df8a9f_a560_4bcd_9047_4905e42d964e"/>
      <w:bookmarkEnd w:id="31"/>
      <w:r>
        <w:rPr>
          <w:rFonts w:ascii="Times New Roman;Times;serif" w:hAnsi="Times New Roman;Times;serif"/>
          <w:b/>
          <w:sz w:val="20"/>
        </w:rPr>
        <w:t>Item 3.03. Material Modification to Rights of Security Holders.</w:t>
      </w:r>
    </w:p>
    <w:p>
      <w:pPr>
        <w:pStyle w:val="TextBody"/>
        <w:shd w:fill="FFFFFF" w:val="clear"/>
        <w:bidi w:val="0"/>
        <w:spacing w:before="0" w:after="0"/>
        <w:ind w:left="0" w:right="0" w:hanging="0"/>
        <w:jc w:val="both"/>
        <w:rPr/>
      </w:pPr>
      <w:r>
        <w:rPr/>
        <w:t>​</w:t>
      </w:r>
    </w:p>
    <w:p>
      <w:pPr>
        <w:pStyle w:val="TextBody"/>
        <w:pBd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previously announced in that Current Report on Form 8-K filed by AerSale Corporation (the “Company”) with the Securities and Exchange Commission (the “Commission”) on June 17, 2026, at the Company’s 2026 Annual Meeting of Stockholders held on June 11, 2026, stockholders holding a majority of the outstanding shares of common stock of the Company entitled to vote approved and adopted the redomestication of the Company from the State of Delaware to the State of Texas (the “Redomestication”) by means of a plan of conversion (the “Plan of Conversion”), as described in the Company’s definitive proxy statement on Schedule 14A filed with the Commission on April 28, 2026 (the “Proxy Statement”). Pursuant to the Plan of Conversion, the Company effected the Redomestication on September 25, 2026 by filing: (i) a certificate of conversion with the Secretary of State of the State of Delaware, (ii) a certificate of conversion with the Secretary of State of the State of Texas, and (iii) a certificate of formation with the Secretary of State of the State of Texas (the “Texas Charter”). The Company also adopted new bylaws (the “Texas Bylaws”) to reflect the Redomestication.</w:t>
      </w:r>
    </w:p>
    <w:p>
      <w:pPr>
        <w:pStyle w:val="TextBody"/>
        <w:bidi w:val="0"/>
        <w:spacing w:before="10" w:after="240"/>
        <w:ind w:left="0" w:right="0" w:firstLine="720"/>
        <w:jc w:val="left"/>
        <w:rPr>
          <w:rFonts w:ascii="Times New Roman;Times;serif" w:hAnsi="Times New Roman;Times;serif"/>
          <w:sz w:val="20"/>
        </w:rPr>
      </w:pPr>
      <w:r>
        <w:rPr>
          <w:rFonts w:ascii="Times New Roman;Times;serif" w:hAnsi="Times New Roman;Times;serif"/>
          <w:sz w:val="20"/>
        </w:rPr>
        <w:t>Through the adoption of the Plan of Conversion, at the effective time of the Redomestication: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its existence as a Texas corporation (the “Texas Corporation”) and continues to operate its business under the current name, “AerSale Corporation”.</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affairs of the Company ceased to be governed by Delaware law and are instead governed by Texas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ceased to be governed by the Delaware Amended and Restated Certificate of Incorporation, as amended, and the Delaware Amended and Restated Bylaws, as amended, and is instead governed by the provisions of the Texas Charter and the Texas Bylaws.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did not result in any change in the Company’s headquarters, business, jobs, management, number of employees, obligations, assets, liabilities or net worth (other than as a result of the transaction costs related to the Redomestication and the cost of corporate franchise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the Company’s common stock, par value $0.0001 per share (“Delaware Corporation Common Stock”), automatically converted into one outstanding share of common stock, par value $0.0001 per share, of the Texas Corporation (“Texas Corporation Common Stock”) pursuant to the Plan of Conversion.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restricted stock unit, option or right to acquire shares of Delaware Corporation Common Stock continues in existence and automatically became a restricted stock unit, option or right to acquire an equal number of shares of the Texas Corporation Common Stock under the same terms and conditions.</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do not have appraisal or dissenters’ rights in connection with the Redomestication.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continues to be traded on The Nasdaq Capital Market as the Texas Corporation Common Stock under the symbol “ASLE”. The Redomestication did not cause any interruption in the trading of the Texas Corporation Common Stock.</w:t>
            </w:r>
          </w:p>
        </w:tc>
      </w:tr>
    </w:tbl>
    <w:p>
      <w:pPr>
        <w:pStyle w:val="TextBody"/>
        <w:bidi w:val="0"/>
        <w:spacing w:before="10" w:after="240"/>
        <w:ind w:left="0" w:right="0" w:firstLine="720"/>
        <w:jc w:val="both"/>
        <w:rPr/>
      </w:pPr>
      <w:r>
        <w:rPr/>
        <w:t>​</w:t>
      </w:r>
    </w:p>
    <w:p>
      <w:pPr>
        <w:pStyle w:val="TextBody"/>
        <w:bidi w:val="0"/>
        <w:spacing w:before="10" w:after="240"/>
        <w:ind w:left="0" w:right="0" w:firstLine="720"/>
        <w:jc w:val="both"/>
        <w:rPr>
          <w:rFonts w:ascii="Times New Roman;Times;serif" w:hAnsi="Times New Roman;Times;serif"/>
          <w:sz w:val="20"/>
        </w:rPr>
      </w:pPr>
      <w:r>
        <w:rPr>
          <w:rFonts w:ascii="Times New Roman;Times;serif" w:hAnsi="Times New Roman;Times;serif"/>
          <w:sz w:val="20"/>
        </w:rPr>
        <w:t>Certain rights of the Company’s stockholders were changed as a result of the Redomestication. A more detailed description of the Plan of Conversion, Texas Charter, and Texas Bylaws, and the effects of the Redomestication, is set forth under “PROPOSALS TO BE VOTED ON – PROPOSAL 3: APPROVAL OF REDOMESTICATION FROM DELAWARE TO TEXAS, BY CONVERSION” of the Proxy Statement, and the description contained therein is incorporated herein by reference.</w:t>
      </w:r>
    </w:p>
    <w:p>
      <w:pPr>
        <w:pStyle w:val="TextBody"/>
        <w:bidi w:val="0"/>
        <w:spacing w:before="10" w:after="240"/>
        <w:ind w:left="0" w:right="0" w:firstLine="720"/>
        <w:jc w:val="both"/>
        <w:rPr>
          <w:rFonts w:ascii="Times New Roman;Times;serif" w:hAnsi="Times New Roman;Times;serif"/>
          <w:sz w:val="20"/>
        </w:rPr>
      </w:pPr>
      <w:r>
        <w:rPr>
          <w:rFonts w:ascii="Times New Roman;Times;serif" w:hAnsi="Times New Roman;Times;serif"/>
          <w:sz w:val="20"/>
        </w:rPr>
        <w:t>The foregoing descriptions of the Plan of Conversion, the Texas Charter and the Texas Bylaws do not purport to be complete and are subject to and qualified in their entirety by the full text of the Plan of Conversion, the Texas Charter and the Texas Bylaws, copies of which are filed hereto as Exhibit 2.1, Exhibit 3.1 and Exhibit 3.2, respectively, and are incorporated by reference herein.</w:t>
      </w:r>
    </w:p>
    <w:p>
      <w:pPr>
        <w:pStyle w:val="TextBody"/>
        <w:bidi w:val="0"/>
        <w:spacing w:before="67" w:after="240"/>
        <w:ind w:left="0" w:right="0" w:hanging="0"/>
        <w:jc w:val="both"/>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pacing w:val="-6"/>
          <w:sz w:val="20"/>
        </w:rPr>
        <w:t xml:space="preserve"> </w:t>
      </w:r>
      <w:r>
        <w:rPr>
          <w:rFonts w:ascii="Times New Roman;Times;serif" w:hAnsi="Times New Roman;Times;serif"/>
          <w:b/>
          <w:sz w:val="20"/>
        </w:rPr>
        <w:t>5.03.</w:t>
      </w:r>
      <w:r>
        <w:rPr>
          <w:rFonts w:ascii="Times New Roman;Times;serif" w:hAnsi="Times New Roman;Times;serif"/>
          <w:spacing w:val="-4"/>
          <w:sz w:val="20"/>
        </w:rPr>
        <w:t xml:space="preserve"> </w:t>
      </w:r>
      <w:r>
        <w:rPr>
          <w:rFonts w:ascii="Times New Roman;Times;serif" w:hAnsi="Times New Roman;Times;serif"/>
          <w:b/>
          <w:sz w:val="20"/>
        </w:rPr>
        <w:t>Amendments to Articles of Incorporation or Bylaws; Change in Fiscal Year</w:t>
      </w:r>
      <w:r>
        <w:rPr>
          <w:rFonts w:ascii="Times New Roman;Times;serif" w:hAnsi="Times New Roman;Times;serif"/>
          <w:b/>
          <w:spacing w:val="-2"/>
          <w:sz w:val="20"/>
        </w:rPr>
        <w:t>.</w:t>
      </w:r>
    </w:p>
    <w:p>
      <w:pPr>
        <w:pStyle w:val="TextBody"/>
        <w:bidi w:val="0"/>
        <w:spacing w:before="10" w:after="240"/>
        <w:ind w:left="0" w:right="0" w:firstLine="720"/>
        <w:jc w:val="left"/>
        <w:rPr>
          <w:rFonts w:ascii="Times New Roman;Times;serif" w:hAnsi="Times New Roman;Times;serif"/>
          <w:sz w:val="20"/>
        </w:rPr>
      </w:pPr>
      <w:r>
        <w:rPr>
          <w:rFonts w:ascii="Times New Roman;Times;serif" w:hAnsi="Times New Roman;Times;serif"/>
          <w:sz w:val="20"/>
        </w:rPr>
        <w:t>The information contained above in Item 3.03 is hereby incorporated by reference into this Item 5.03.</w:t>
      </w:r>
    </w:p>
    <w:p>
      <w:pPr>
        <w:pStyle w:val="TextBody"/>
        <w:bidi w:val="0"/>
        <w:spacing w:before="10" w:after="240"/>
        <w:ind w:left="0" w:right="0" w:hanging="0"/>
        <w:jc w:val="left"/>
        <w:rPr/>
      </w:pPr>
      <w:r>
        <w:rPr/>
        <w:t>​</w:t>
      </w:r>
    </w:p>
    <w:p>
      <w:pPr>
        <w:pStyle w:val="TextBody"/>
        <w:bidi w:val="0"/>
        <w:spacing w:before="1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8.01. Other Events.</w:t>
      </w:r>
    </w:p>
    <w:p>
      <w:pPr>
        <w:pStyle w:val="TextBody"/>
        <w:bidi w:val="0"/>
        <w:spacing w:before="10" w:after="240"/>
        <w:ind w:left="0" w:right="0" w:firstLine="720"/>
        <w:jc w:val="left"/>
        <w:rPr>
          <w:rFonts w:ascii="Times New Roman;Times;serif" w:hAnsi="Times New Roman;Times;serif"/>
          <w:sz w:val="20"/>
        </w:rPr>
      </w:pPr>
      <w:r>
        <w:rPr>
          <w:rFonts w:ascii="Times New Roman;Times;serif" w:hAnsi="Times New Roman;Times;serif"/>
          <w:sz w:val="20"/>
        </w:rPr>
        <w:t>In connection with the Redomestication, a legal opinion of Snell &amp; Wilmer L.L.P. is filed as Exhibit 5.1 to this Current Report on Form 8-K and is incorporated by reference into the Company’s Registration Statements on Form S-8 (File Nos. 333-288567, 333-274663 and 333-253424).</w:t>
      </w:r>
    </w:p>
    <w:p>
      <w:pPr>
        <w:pStyle w:val="TextBody"/>
        <w:bidi w:val="0"/>
        <w:spacing w:before="1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Exhibits.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8683" w:type="dxa"/>
        <w:jc w:val="left"/>
        <w:tblInd w:w="0" w:type="dxa"/>
        <w:tblLayout w:type="fixed"/>
        <w:tblCellMar>
          <w:top w:w="0" w:type="dxa"/>
          <w:left w:w="0" w:type="dxa"/>
          <w:bottom w:w="0" w:type="dxa"/>
          <w:right w:w="0" w:type="dxa"/>
        </w:tblCellMar>
      </w:tblPr>
      <w:tblGrid>
        <w:gridCol w:w="1081"/>
        <w:gridCol w:w="146"/>
        <w:gridCol w:w="745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74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46" w:type="dxa"/>
            <w:tcBorders/>
            <w:vAlign w:val="center"/>
          </w:tcPr>
          <w:p>
            <w:pPr>
              <w:pStyle w:val="TableContents"/>
              <w:bidi w:val="0"/>
              <w:spacing w:before="0" w:after="0"/>
              <w:ind w:left="0" w:right="0" w:hanging="0"/>
              <w:jc w:val="left"/>
              <w:rPr/>
            </w:pPr>
            <w:r>
              <w:rPr/>
              <w:t> </w:t>
            </w:r>
          </w:p>
        </w:tc>
        <w:tc>
          <w:tcPr>
            <w:tcW w:w="7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pPr>
            <w:r>
              <w:rPr/>
              <w:t> </w:t>
            </w:r>
          </w:p>
        </w:tc>
        <w:tc>
          <w:tcPr>
            <w:tcW w:w="7602" w:type="dxa"/>
            <w:gridSpan w:val="2"/>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 </w:t>
            </w:r>
          </w:p>
        </w:tc>
        <w:tc>
          <w:tcPr>
            <w:tcW w:w="7456" w:type="dxa"/>
            <w:tcBorders/>
            <w:vAlign w:val="center"/>
          </w:tcPr>
          <w:p>
            <w:pPr>
              <w:pStyle w:val="TableContents"/>
              <w:bidi w:val="0"/>
              <w:spacing w:before="0" w:after="0"/>
              <w:ind w:left="0" w:right="0" w:hanging="0"/>
              <w:jc w:val="left"/>
              <w:rPr/>
            </w:pPr>
            <w:hyperlink w:anchor="asle-20260925xex2d1.htm">
              <w:r>
                <w:rPr>
                  <w:rStyle w:val="InternetLink"/>
                  <w:rFonts w:ascii="Times New Roman;Times;serif" w:hAnsi="Times New Roman;Times;serif"/>
                  <w:b w:val="false"/>
                  <w:i w:val="false"/>
                  <w:caps w:val="false"/>
                  <w:smallCaps w:val="false"/>
                  <w:sz w:val="20"/>
                </w:rPr>
                <w:t>Plan of Conversion of AerSale Corporation</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46" w:type="dxa"/>
            <w:tcBorders/>
            <w:vAlign w:val="center"/>
          </w:tcPr>
          <w:p>
            <w:pPr>
              <w:pStyle w:val="TableContents"/>
              <w:bidi w:val="0"/>
              <w:spacing w:before="0" w:after="0"/>
              <w:ind w:left="0" w:right="0" w:hanging="0"/>
              <w:jc w:val="left"/>
              <w:rPr/>
            </w:pPr>
            <w:r>
              <w:rPr/>
              <w:t> </w:t>
            </w:r>
          </w:p>
        </w:tc>
        <w:tc>
          <w:tcPr>
            <w:tcW w:w="7456" w:type="dxa"/>
            <w:tcBorders/>
            <w:vAlign w:val="center"/>
          </w:tcPr>
          <w:p>
            <w:pPr>
              <w:pStyle w:val="TableContents"/>
              <w:bidi w:val="0"/>
              <w:spacing w:before="0" w:after="0"/>
              <w:ind w:left="0" w:right="0" w:hanging="0"/>
              <w:jc w:val="left"/>
              <w:rPr/>
            </w:pPr>
            <w:hyperlink w:anchor="asle-20260925xex3d1.htm">
              <w:r>
                <w:rPr>
                  <w:rStyle w:val="InternetLink"/>
                  <w:rFonts w:ascii="Times New Roman;Times;serif" w:hAnsi="Times New Roman;Times;serif"/>
                  <w:b w:val="false"/>
                  <w:i w:val="false"/>
                  <w:caps w:val="false"/>
                  <w:smallCaps w:val="false"/>
                  <w:sz w:val="20"/>
                </w:rPr>
                <w:t>Certificate of Formation of AerSale Corporation</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4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hyperlink w:anchor="asle-20260925xex3d2.htm">
              <w:r>
                <w:rPr>
                  <w:rStyle w:val="InternetLink"/>
                  <w:rFonts w:ascii="Times New Roman;Times;serif" w:hAnsi="Times New Roman;Times;serif"/>
                  <w:b w:val="false"/>
                  <w:i w:val="false"/>
                  <w:caps w:val="false"/>
                  <w:smallCaps w:val="false"/>
                  <w:sz w:val="20"/>
                </w:rPr>
                <w:t>Bylaws of AerSale Corporation</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14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hyperlink w:anchor="asle-20260925xex5d1.htm">
              <w:r>
                <w:rPr>
                  <w:rStyle w:val="InternetLink"/>
                  <w:rFonts w:ascii="Times New Roman;Times;serif" w:hAnsi="Times New Roman;Times;serif"/>
                  <w:b w:val="false"/>
                  <w:i w:val="false"/>
                  <w:caps w:val="false"/>
                  <w:smallCaps w:val="false"/>
                  <w:sz w:val="20"/>
                </w:rPr>
                <w:t>Opinion of Snell &amp; Wilmer L.L.P.</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14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hyperlink w:anchor="asle-20260925xex5d1.htm">
              <w:r>
                <w:rPr>
                  <w:rStyle w:val="InternetLink"/>
                  <w:rFonts w:ascii="Times New Roman;Times;serif" w:hAnsi="Times New Roman;Times;serif"/>
                  <w:b w:val="false"/>
                  <w:i w:val="false"/>
                  <w:caps w:val="false"/>
                  <w:smallCaps w:val="false"/>
                  <w:sz w:val="20"/>
                </w:rPr>
                <w:t>Consent of Snell &amp; Wilmer L.L.P. (continued in Exhibit 5.1)</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 </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32" w:name="_9fdd674e_4364_4c28_88ce_fb7cd4ffcb14"/>
      <w:bookmarkEnd w:id="32"/>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8091" w:type="dxa"/>
        <w:jc w:val="left"/>
        <w:tblInd w:w="0" w:type="dxa"/>
        <w:tblLayout w:type="fixed"/>
        <w:tblCellMar>
          <w:top w:w="0" w:type="dxa"/>
          <w:left w:w="0" w:type="dxa"/>
          <w:bottom w:w="0" w:type="dxa"/>
          <w:right w:w="0" w:type="dxa"/>
        </w:tblCellMar>
      </w:tblPr>
      <w:tblGrid>
        <w:gridCol w:w="2221"/>
        <w:gridCol w:w="1936"/>
        <w:gridCol w:w="3111"/>
        <w:gridCol w:w="669"/>
        <w:gridCol w:w="154"/>
      </w:tblGrid>
      <w:tr>
        <w:trPr/>
        <w:tc>
          <w:tcPr>
            <w:tcW w:w="4157"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11" w:type="dxa"/>
            <w:tcBorders/>
            <w:vAlign w:val="center"/>
          </w:tcPr>
          <w:p>
            <w:pPr>
              <w:pStyle w:val="TableContents"/>
              <w:bidi w:val="0"/>
              <w:spacing w:before="0" w:after="0"/>
              <w:ind w:left="0" w:right="0" w:hanging="0"/>
              <w:jc w:val="left"/>
              <w:rPr/>
            </w:pPr>
            <w:r>
              <w:rPr/>
              <w:t>​</w:t>
            </w:r>
          </w:p>
        </w:tc>
        <w:tc>
          <w:tcPr>
            <w:tcW w:w="823"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 </w:t>
            </w:r>
          </w:p>
        </w:tc>
        <w:tc>
          <w:tcPr>
            <w:tcW w:w="571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AERSALE CORPORATION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283"/>
              <w:ind w:left="0" w:right="0" w:hanging="0"/>
              <w:jc w:val="left"/>
              <w:rPr>
                <w:sz w:val="4"/>
                <w:szCs w:val="4"/>
              </w:rPr>
            </w:pPr>
            <w:r>
              <w:rPr>
                <w:sz w:val="4"/>
                <w:szCs w:val="4"/>
              </w:rPr>
            </w:r>
          </w:p>
        </w:tc>
        <w:tc>
          <w:tcPr>
            <w:tcW w:w="378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8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A. Hechenberger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8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A. Hechenberger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SVP, General Counsel &amp; Corporate Secretary</w:t>
            </w:r>
            <w:r>
              <w:rPr>
                <w:rFonts w:ascii="Times New Roman;Times;serif" w:hAnsi="Times New Roman;Times;serif"/>
                <w:sz w:val="20"/>
                <w:shd w:fill="FFFF00" w:val="clear"/>
              </w:rPr>
              <w:t xml:space="preserve">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157" w:type="dxa"/>
            <w:gridSpan w:val="2"/>
            <w:tcBorders/>
            <w:vAlign w:val="center"/>
          </w:tcPr>
          <w:p>
            <w:pPr>
              <w:pStyle w:val="TableContents"/>
              <w:bidi w:val="0"/>
              <w:spacing w:before="0" w:after="0"/>
              <w:ind w:left="0" w:right="0" w:hanging="0"/>
              <w:jc w:val="left"/>
              <w:rPr/>
            </w:pPr>
            <w:r>
              <w:rPr/>
              <w:t> </w:t>
            </w:r>
          </w:p>
        </w:tc>
        <w:tc>
          <w:tcPr>
            <w:tcW w:w="3111" w:type="dxa"/>
            <w:tcBorders/>
            <w:vAlign w:val="center"/>
          </w:tcPr>
          <w:p>
            <w:pPr>
              <w:pStyle w:val="TableContents"/>
              <w:bidi w:val="0"/>
              <w:spacing w:before="0" w:after="0"/>
              <w:ind w:left="0" w:right="0" w:hanging="0"/>
              <w:jc w:val="left"/>
              <w:rPr/>
            </w:pPr>
            <w:r>
              <w:rPr/>
              <w:t>​</w:t>
            </w:r>
          </w:p>
        </w:tc>
        <w:tc>
          <w:tcPr>
            <w:tcW w:w="823"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2"/>
        </w:rPr>
      </w:pPr>
      <w:bookmarkStart w:id="33" w:name="asle-20260925xex2d1.htm"/>
      <w:bookmarkStart w:id="34" w:name="ksasle20260925xex2d1"/>
      <w:bookmarkEnd w:id="33"/>
      <w:bookmarkEnd w:id="34"/>
      <w:r>
        <w:rPr>
          <w:rFonts w:ascii="Times New Roman;Times;serif" w:hAnsi="Times New Roman;Times;serif"/>
          <w:b/>
          <w:sz w:val="22"/>
        </w:rPr>
        <w:t>Exhibit 2.1</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PLAN OF CONVERSION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OF</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AERSALE CORPORATION, A DELAWARE CORPORATION,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INTO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AERSALE CORPORATION, A TEXAS CORPORATION</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firstLine="720"/>
        <w:jc w:val="both"/>
        <w:rPr>
          <w:rFonts w:ascii="Helvetica;sans-serif" w:hAnsi="Helvetica;sans-serif"/>
          <w:sz w:val="22"/>
        </w:rPr>
      </w:pPr>
      <w:r>
        <w:rPr>
          <w:rFonts w:ascii="Times New Roman;Times;serif" w:hAnsi="Times New Roman;Times;serif"/>
          <w:sz w:val="24"/>
        </w:rPr>
        <w:t xml:space="preserve">This </w:t>
      </w:r>
      <w:r>
        <w:rPr>
          <w:rFonts w:ascii="Times New Roman;Times;serif" w:hAnsi="Times New Roman;Times;serif"/>
          <w:caps/>
          <w:sz w:val="24"/>
        </w:rPr>
        <w:t>Plan of Conversion</w:t>
      </w:r>
      <w:r>
        <w:rPr>
          <w:rFonts w:ascii="Helvetica;sans-serif" w:hAnsi="Helvetica;sans-serif"/>
          <w:sz w:val="22"/>
        </w:rPr>
        <w:t xml:space="preserve"> </w:t>
      </w:r>
      <w:r>
        <w:rPr>
          <w:rFonts w:ascii="Times New Roman;Times;serif" w:hAnsi="Times New Roman;Times;serif"/>
          <w:sz w:val="24"/>
        </w:rPr>
        <w:t>(this “</w:t>
      </w:r>
      <w:r>
        <w:rPr>
          <w:rFonts w:ascii="Times New Roman;Times;serif" w:hAnsi="Times New Roman;Times;serif"/>
          <w:b/>
          <w:i/>
          <w:sz w:val="24"/>
        </w:rPr>
        <w:t>Plan</w:t>
      </w:r>
      <w:r>
        <w:rPr>
          <w:rFonts w:ascii="Helvetica;sans-serif" w:hAnsi="Helvetica;sans-serif"/>
          <w:sz w:val="22"/>
        </w:rPr>
        <w:t>”</w:t>
      </w:r>
      <w:r>
        <w:rPr>
          <w:rFonts w:ascii="Times New Roman;Times;serif" w:hAnsi="Times New Roman;Times;serif"/>
          <w:sz w:val="24"/>
        </w:rPr>
        <w:t>), dated as of September 25, 2026, is hereby adopted by AerSale Corporation, a Delaware corporation (the “</w:t>
      </w:r>
      <w:r>
        <w:rPr>
          <w:rFonts w:ascii="Times New Roman;Times;serif" w:hAnsi="Times New Roman;Times;serif"/>
          <w:b/>
          <w:i/>
          <w:sz w:val="24"/>
        </w:rPr>
        <w:t>Converting Entity</w:t>
      </w:r>
      <w:r>
        <w:rPr>
          <w:rFonts w:ascii="Helvetica;sans-serif" w:hAnsi="Helvetica;sans-serif"/>
          <w:sz w:val="22"/>
        </w:rPr>
        <w:t>”</w:t>
      </w:r>
      <w:r>
        <w:rPr>
          <w:rFonts w:ascii="Times New Roman;Times;serif" w:hAnsi="Times New Roman;Times;serif"/>
          <w:sz w:val="24"/>
        </w:rPr>
        <w:t>), and sets forth the terms, conditions and procedures governing its conversion into, and continued existence as, AerSale Corporation, a Texas corporation (the “</w:t>
      </w:r>
      <w:r>
        <w:rPr>
          <w:rFonts w:ascii="Times New Roman;Times;serif" w:hAnsi="Times New Roman;Times;serif"/>
          <w:b/>
          <w:i/>
          <w:sz w:val="24"/>
        </w:rPr>
        <w:t>Converted Entity</w:t>
      </w:r>
      <w:r>
        <w:rPr>
          <w:rFonts w:ascii="Helvetica;sans-serif" w:hAnsi="Helvetica;sans-serif"/>
          <w:sz w:val="22"/>
        </w:rPr>
        <w:t>”</w:t>
      </w:r>
      <w:r>
        <w:rPr>
          <w:rFonts w:ascii="Times New Roman;Times;serif" w:hAnsi="Times New Roman;Times;serif"/>
          <w:sz w:val="24"/>
        </w:rPr>
        <w:t>), pursuant to the Delaware General Corporation Law (the “</w:t>
      </w:r>
      <w:r>
        <w:rPr>
          <w:rFonts w:ascii="Times New Roman;Times;serif" w:hAnsi="Times New Roman;Times;serif"/>
          <w:b/>
          <w:i/>
          <w:sz w:val="24"/>
        </w:rPr>
        <w:t>DGCL</w:t>
      </w:r>
      <w:r>
        <w:rPr>
          <w:rFonts w:ascii="Helvetica;sans-serif" w:hAnsi="Helvetica;sans-serif"/>
          <w:sz w:val="22"/>
        </w:rPr>
        <w:t>”</w:t>
      </w:r>
      <w:r>
        <w:rPr>
          <w:rFonts w:ascii="Times New Roman;Times;serif" w:hAnsi="Times New Roman;Times;serif"/>
          <w:sz w:val="24"/>
        </w:rPr>
        <w:t>) and the Texas Business Organizations Code (the “</w:t>
      </w:r>
      <w:r>
        <w:rPr>
          <w:rFonts w:ascii="Times New Roman;Times;serif" w:hAnsi="Times New Roman;Times;serif"/>
          <w:b/>
          <w:i/>
          <w:sz w:val="24"/>
        </w:rPr>
        <w:t>TBOC</w:t>
      </w:r>
      <w:r>
        <w:rPr>
          <w:rFonts w:ascii="Helvetica;sans-serif" w:hAnsi="Helvetica;sans-serif"/>
          <w:sz w:val="22"/>
        </w:rPr>
        <w:t>”</w:t>
      </w:r>
      <w:r>
        <w:rPr>
          <w:rFonts w:ascii="Times New Roman;Times;serif" w:hAnsi="Times New Roman;Times;serif"/>
          <w:sz w:val="24"/>
        </w:rPr>
        <w: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lineRule="auto" w:line="307" w:before="0" w:after="160"/>
        <w:ind w:left="0" w:right="0" w:hanging="0"/>
        <w:jc w:val="center"/>
        <w:rPr/>
      </w:pPr>
      <w:r>
        <w:rPr/>
        <w:t>​</w:t>
      </w:r>
    </w:p>
    <w:p>
      <w:pPr>
        <w:pStyle w:val="TextBody"/>
        <w:bidi w:val="0"/>
        <w:spacing w:lineRule="auto" w:line="285" w:before="0" w:after="240"/>
        <w:ind w:left="0" w:right="0" w:hanging="0"/>
        <w:jc w:val="left"/>
        <w:rPr>
          <w:rFonts w:ascii="Helvetica;sans-serif" w:hAnsi="Helvetica;sans-serif"/>
          <w:sz w:val="22"/>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Converting Entity was formed as a Delaware corporation on December 2, 2019.</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Converting Entity desires to convert into a Texas corporation (the “</w:t>
      </w:r>
      <w:r>
        <w:rPr>
          <w:rFonts w:ascii="Times New Roman;Times;serif" w:hAnsi="Times New Roman;Times;serif"/>
          <w:b/>
          <w:i/>
          <w:sz w:val="24"/>
        </w:rPr>
        <w:t>Conversion</w:t>
      </w:r>
      <w:r>
        <w:rPr>
          <w:rFonts w:ascii="Helvetica;sans-serif" w:hAnsi="Helvetica;sans-serif"/>
          <w:sz w:val="22"/>
        </w:rPr>
        <w:t>”</w:t>
      </w:r>
      <w:r>
        <w:rPr>
          <w:rFonts w:ascii="Times New Roman;Times;serif" w:hAnsi="Times New Roman;Times;serif"/>
          <w:sz w:val="24"/>
        </w:rPr>
        <w:t>) pursuant to the terms and conditions set forth in this Plan and in accordance with Section 266 of the DGCL and Title 1, Chapter 10, Subchapter C of the TBOC.</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Board of Directors (the “</w:t>
      </w:r>
      <w:r>
        <w:rPr>
          <w:rFonts w:ascii="Times New Roman;Times;serif" w:hAnsi="Times New Roman;Times;serif"/>
          <w:b/>
          <w:i/>
          <w:sz w:val="24"/>
        </w:rPr>
        <w:t>Board</w:t>
      </w:r>
      <w:r>
        <w:rPr>
          <w:rFonts w:ascii="Helvetica;sans-serif" w:hAnsi="Helvetica;sans-serif"/>
          <w:sz w:val="22"/>
        </w:rPr>
        <w:t>”</w:t>
      </w:r>
      <w:r>
        <w:rPr>
          <w:rFonts w:ascii="Times New Roman;Times;serif" w:hAnsi="Times New Roman;Times;serif"/>
          <w:sz w:val="24"/>
        </w:rPr>
        <w:t>) of the Converting Entity has unanimously (i) determined that the Conversion is advisable and in the best interests of the Converting Entity and its stockholders and recommended the approval of the Conversion by the stockholders of the Converting Entity, and (ii) approved and adopted this Plan, the Conversion and the other documents and transactions contemplated by this Plan, including the Texas Charter (as defined below), the Texas Bylaws (as defined below), the Texas Certificate of Conversion (as defined below), and the Delaware Certificate of Conversion (as defined below).</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stockholders of the Converting Entity have approved and adopted this Plan, the Conversion and the other documents and transactions contemplated by this Plan, including the Texas Charter, the Texas Bylaws, the Texas Certificate of Conversion and the Delaware Certificate of Conversion, in accordance with the requirements of the DGCL and the certificate of incorporation of the Converting Entity.</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b w:val="false"/>
          <w:i w:val="false"/>
          <w:caps w:val="false"/>
          <w:smallCaps w:val="false"/>
          <w:sz w:val="24"/>
        </w:rPr>
        <w:t xml:space="preserve">E. </w:t>
      </w:r>
      <w:r>
        <w:rPr>
          <w:rFonts w:ascii="Times New Roman;Times;serif" w:hAnsi="Times New Roman;Times;serif"/>
          <w:sz w:val="24"/>
        </w:rPr>
        <w:t>The mode of carrying out the Conversion into effect shall be as described in this Plan.</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NOW THEREFORE, in reliance on the above set forth recitals, the Converting Entity does hereby adopt the Plan, as set forth below: </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Terms and Conditions of the Plan of Conversion</w:t>
      </w:r>
    </w:p>
    <w:p>
      <w:pPr>
        <w:pStyle w:val="TextBody"/>
        <w:bidi w:val="0"/>
        <w:spacing w:lineRule="auto" w:line="307" w:before="0" w:after="160"/>
        <w:ind w:left="0" w:right="0" w:hanging="0"/>
        <w:jc w:val="center"/>
        <w:rPr/>
      </w:pPr>
      <w:r>
        <w:rPr/>
        <w:t>​</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w:t>
      </w:r>
      <w:r>
        <w:rPr>
          <w:rFonts w:ascii="Times New Roman;Times;serif" w:hAnsi="Times New Roman;Times;serif"/>
          <w:sz w:val="24"/>
          <w:u w:val="single"/>
        </w:rPr>
        <w:t>Name of the Converting Entity</w:t>
      </w:r>
      <w:r>
        <w:rPr>
          <w:rFonts w:ascii="Times New Roman;Times;serif" w:hAnsi="Times New Roman;Times;serif"/>
          <w:sz w:val="24"/>
        </w:rPr>
        <w:t>.  The name of the Converting Entity is “AerSale Corporation”, a Delaware corporation.</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2.</w:t>
      </w:r>
      <w:r>
        <w:rPr>
          <w:rFonts w:ascii="Times New Roman;Times;serif" w:hAnsi="Times New Roman;Times;serif"/>
          <w:sz w:val="24"/>
          <w:u w:val="single"/>
        </w:rPr>
        <w:t>Name of the Converted Entity</w:t>
      </w:r>
      <w:r>
        <w:rPr>
          <w:rFonts w:ascii="Times New Roman;Times;serif" w:hAnsi="Times New Roman;Times;serif"/>
          <w:sz w:val="24"/>
        </w:rPr>
        <w:t>.  The name of the Converted Entity shall be “AerSale Corporation”, a Texas corporation.</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3.</w:t>
      </w:r>
      <w:r>
        <w:rPr>
          <w:rFonts w:ascii="Times New Roman;Times;serif" w:hAnsi="Times New Roman;Times;serif"/>
          <w:sz w:val="24"/>
          <w:u w:val="single"/>
        </w:rPr>
        <w:t>Continued Existence and Entity Type</w:t>
      </w:r>
      <w:r>
        <w:rPr>
          <w:rFonts w:ascii="Times New Roman;Times;serif" w:hAnsi="Times New Roman;Times;serif"/>
          <w:sz w:val="24"/>
        </w:rPr>
        <w:t>.  The Converted Entity will be a Texas for-profit corporation governed by the laws of the State of Texas. The Converting Entity is continuing its existence, without lapse or interruption, in the organizational form of a Texas for-profit corporation under the name “AerSale Corporation”; that is, in the organization form of the Converted Entity.  </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4.</w:t>
      </w:r>
      <w:r>
        <w:rPr>
          <w:rFonts w:ascii="Times New Roman;Times;serif" w:hAnsi="Times New Roman;Times;serif"/>
          <w:sz w:val="24"/>
          <w:u w:val="single"/>
        </w:rPr>
        <w:t>Conversion of Shares of Stock</w:t>
      </w:r>
      <w:r>
        <w:rPr>
          <w:rFonts w:ascii="Times New Roman;Times;serif" w:hAnsi="Times New Roman;Times;serif"/>
          <w:sz w:val="24"/>
        </w:rPr>
        <w:t>.  </w:t>
      </w:r>
      <w:bookmarkStart w:id="35" w:name="_Hlk216424673"/>
      <w:bookmarkEnd w:id="35"/>
      <w:r>
        <w:rPr>
          <w:rFonts w:ascii="Times New Roman;Times;serif" w:hAnsi="Times New Roman;Times;serif"/>
          <w:sz w:val="24"/>
        </w:rPr>
        <w:t>At the Effective Time (as defined below), automatically by virtue of the Conversion and without any further action on the part of any person, each outstanding share of common stock (including restricted stock, which shall remain restricted on the same terms as currently apply), par value $0.0001 per share, of the Converting Entity shall convert into one validly issued, fully paid and nonassessable share of common stock, par value $0.0001 per share, of the Converted Entity, and any option, warrant, restricted stock unit or other right to receive or acquire shares of common stock of the Converting Entity issued and outstanding immediately prior to the Effective Time shall continue in existence in the form of and will automatically become an option, warrant, restricted stock unit or other right to receive or acquire an equal number of shares of common stock of the Converted Entity under the same terms and conditions. No shares of preferred stock are issued and outstanding as of the Effective Date.  </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5.</w:t>
      </w:r>
      <w:r>
        <w:rPr>
          <w:rFonts w:ascii="Times New Roman;Times;serif" w:hAnsi="Times New Roman;Times;serif"/>
          <w:sz w:val="24"/>
          <w:u w:val="single"/>
        </w:rPr>
        <w:t>Agreements</w:t>
      </w:r>
      <w:r>
        <w:rPr>
          <w:rFonts w:ascii="Times New Roman;Times;serif" w:hAnsi="Times New Roman;Times;serif"/>
          <w:sz w:val="24"/>
        </w:rPr>
        <w:t>. As of the Effective Time, automatically by virtue of the Conversion and without any further action on the part of any person, each agreement to which the Converting Entity is a party, shall continue to be an agreement of the Converted Entity on the same terms and conditions and any references to the Converting Entity thereunder shall, on and after the Effective Time, mean the Converted Entity.</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6.</w:t>
      </w:r>
      <w:r>
        <w:rPr>
          <w:rFonts w:ascii="Times New Roman;Times;serif" w:hAnsi="Times New Roman;Times;serif"/>
          <w:sz w:val="24"/>
          <w:u w:val="single"/>
        </w:rPr>
        <w:t>Stock Certificates</w:t>
      </w:r>
      <w:r>
        <w:rPr>
          <w:rFonts w:ascii="Times New Roman;Times;serif" w:hAnsi="Times New Roman;Times;serif"/>
          <w:sz w:val="24"/>
        </w:rPr>
        <w:t>. All of the outstanding certificates representing shares of common stock of the Converting Entity immediately prior to the Effective Time shall be deemed for all purposes to continue to evidence ownership of and to represent the same number of shares of common stock of the Converted Entity into which such shares have been converted pursuant to the Conversion, from and after the Effective Time.</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7.</w:t>
      </w:r>
      <w:r>
        <w:rPr>
          <w:rFonts w:ascii="Times New Roman;Times;serif" w:hAnsi="Times New Roman;Times;serif"/>
          <w:sz w:val="24"/>
          <w:u w:val="single"/>
        </w:rPr>
        <w:t>Employment-Related Agreements and Plans</w:t>
      </w:r>
      <w:r>
        <w:rPr>
          <w:rFonts w:ascii="Times New Roman;Times;serif" w:hAnsi="Times New Roman;Times;serif"/>
          <w:sz w:val="24"/>
        </w:rPr>
        <w:t>. As of the Effective Time, automatically by virtue of the Conversion and without any further action on the part of any person, each employment letter or agreement, employee benefit plan or agreement, incentive compensation plan or agreement or other similar plan or agreement to which the Converting Entity is a party, or otherwise maintains, sponsors or contributes, shall continue to be a plan or agreement of the Converted Entity on the same terms and conditions and any references to the Converting Entity thereunder shall mean the Converted Entity on and after the Effective Time. To the extent that any such plan, letter or agreement provides for the issuance, or is otherwise based on the value, of common stock or other equity securities of the Converting Entity, as of the Effective Time, automatically by virtue of the Conversion and without any further action on the part of any person, such plan or agreement shall be deemed to provide for the issuance, or be based on the value, of common stock or other equity securities of the Converted Entity, respectively.</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both"/>
        <w:rPr>
          <w:rFonts w:ascii="Helvetica;sans-serif" w:hAnsi="Helvetica;sans-serif"/>
          <w:sz w:val="22"/>
        </w:rPr>
      </w:pPr>
      <w:r>
        <w:rPr>
          <w:rFonts w:ascii="Times New Roman;Times;serif" w:hAnsi="Times New Roman;Times;serif"/>
          <w:sz w:val="24"/>
        </w:rPr>
        <w:t>8.</w:t>
      </w:r>
      <w:r>
        <w:rPr>
          <w:rFonts w:ascii="Times New Roman;Times;serif" w:hAnsi="Times New Roman;Times;serif"/>
          <w:sz w:val="24"/>
          <w:u w:val="single"/>
        </w:rPr>
        <w:t>Approval</w:t>
      </w:r>
      <w:r>
        <w:rPr>
          <w:rFonts w:ascii="Times New Roman;Times;serif" w:hAnsi="Times New Roman;Times;serif"/>
          <w:sz w:val="24"/>
        </w:rPr>
        <w:t>.  This Plan of Conversion has been approved by the Board and the stockholders of the Converting Entity.</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9.</w:t>
      </w:r>
      <w:r>
        <w:rPr>
          <w:rFonts w:ascii="Times New Roman;Times;serif" w:hAnsi="Times New Roman;Times;serif"/>
          <w:sz w:val="24"/>
          <w:u w:val="single"/>
        </w:rPr>
        <w:t>Certificate of Conversion</w:t>
      </w:r>
      <w:r>
        <w:rPr>
          <w:rFonts w:ascii="Times New Roman;Times;serif" w:hAnsi="Times New Roman;Times;serif"/>
          <w:sz w:val="24"/>
        </w:rPr>
        <w:t>.  The proper officers of the Converting Entity shall file or cause to be filed with the Secretary of State of the State of Delaware (the “</w:t>
      </w:r>
      <w:r>
        <w:rPr>
          <w:rFonts w:ascii="Times New Roman;Times;serif" w:hAnsi="Times New Roman;Times;serif"/>
          <w:b/>
          <w:i/>
          <w:sz w:val="24"/>
        </w:rPr>
        <w:t>Delaware Secretary of State</w:t>
      </w:r>
      <w:r>
        <w:rPr>
          <w:rFonts w:ascii="Helvetica;sans-serif" w:hAnsi="Helvetica;sans-serif"/>
          <w:sz w:val="22"/>
        </w:rPr>
        <w:t>”</w:t>
      </w:r>
      <w:r>
        <w:rPr>
          <w:rFonts w:ascii="Times New Roman;Times;serif" w:hAnsi="Times New Roman;Times;serif"/>
          <w:sz w:val="24"/>
        </w:rPr>
        <w:t xml:space="preserve">) a Certificate of Conversion in the form attached hereto as </w:t>
      </w:r>
      <w:r>
        <w:rPr>
          <w:rFonts w:ascii="Times New Roman;Times;serif" w:hAnsi="Times New Roman;Times;serif"/>
          <w:sz w:val="24"/>
          <w:u w:val="single"/>
        </w:rPr>
        <w:t>Exhibit A</w:t>
      </w:r>
      <w:r>
        <w:rPr>
          <w:rFonts w:ascii="Helvetica;sans-serif" w:hAnsi="Helvetica;sans-serif"/>
          <w:sz w:val="22"/>
        </w:rPr>
        <w:t xml:space="preserve"> </w:t>
      </w:r>
      <w:r>
        <w:rPr>
          <w:rFonts w:ascii="Times New Roman;Times;serif" w:hAnsi="Times New Roman;Times;serif"/>
          <w:sz w:val="24"/>
        </w:rPr>
        <w:t>(the “</w:t>
      </w:r>
      <w:r>
        <w:rPr>
          <w:rFonts w:ascii="Times New Roman;Times;serif" w:hAnsi="Times New Roman;Times;serif"/>
          <w:b/>
          <w:i/>
          <w:sz w:val="24"/>
        </w:rPr>
        <w:t>Delaware Certificate of Conversion</w:t>
      </w:r>
      <w:r>
        <w:rPr>
          <w:rFonts w:ascii="Helvetica;sans-serif" w:hAnsi="Helvetica;sans-serif"/>
          <w:sz w:val="22"/>
        </w:rPr>
        <w:t>”</w:t>
      </w:r>
      <w:r>
        <w:rPr>
          <w:rFonts w:ascii="Times New Roman;Times;serif" w:hAnsi="Times New Roman;Times;serif"/>
          <w:sz w:val="24"/>
        </w:rPr>
        <w:t>), and shall file or cause to be filed with the Secretary of State of the State of Texas (the “</w:t>
      </w:r>
      <w:r>
        <w:rPr>
          <w:rFonts w:ascii="Times New Roman;Times;serif" w:hAnsi="Times New Roman;Times;serif"/>
          <w:b/>
          <w:i/>
          <w:sz w:val="24"/>
        </w:rPr>
        <w:t>Texas Secretary of State</w:t>
      </w:r>
      <w:r>
        <w:rPr>
          <w:rFonts w:ascii="Helvetica;sans-serif" w:hAnsi="Helvetica;sans-serif"/>
          <w:sz w:val="22"/>
        </w:rPr>
        <w:t>”</w:t>
      </w:r>
      <w:r>
        <w:rPr>
          <w:rFonts w:ascii="Times New Roman;Times;serif" w:hAnsi="Times New Roman;Times;serif"/>
          <w:sz w:val="24"/>
        </w:rPr>
        <w:t xml:space="preserve">) (a) a Certificate of Conversion in the form attached hereto as </w:t>
      </w:r>
      <w:r>
        <w:rPr>
          <w:rFonts w:ascii="Times New Roman;Times;serif" w:hAnsi="Times New Roman;Times;serif"/>
          <w:sz w:val="24"/>
          <w:u w:val="single"/>
        </w:rPr>
        <w:t>Exhibit B</w:t>
      </w:r>
      <w:r>
        <w:rPr>
          <w:rFonts w:ascii="Helvetica;sans-serif" w:hAnsi="Helvetica;sans-serif"/>
          <w:sz w:val="22"/>
        </w:rPr>
        <w:t xml:space="preserve"> </w:t>
      </w:r>
      <w:r>
        <w:rPr>
          <w:rFonts w:ascii="Times New Roman;Times;serif" w:hAnsi="Times New Roman;Times;serif"/>
          <w:sz w:val="24"/>
        </w:rPr>
        <w:t>(the “</w:t>
      </w:r>
      <w:r>
        <w:rPr>
          <w:rFonts w:ascii="Times New Roman;Times;serif" w:hAnsi="Times New Roman;Times;serif"/>
          <w:b/>
          <w:i/>
          <w:sz w:val="24"/>
        </w:rPr>
        <w:t>Texas Certification of Conversion</w:t>
      </w:r>
      <w:r>
        <w:rPr>
          <w:rFonts w:ascii="Helvetica;sans-serif" w:hAnsi="Helvetica;sans-serif"/>
          <w:sz w:val="22"/>
        </w:rPr>
        <w:t>”</w:t>
      </w:r>
      <w:r>
        <w:rPr>
          <w:rFonts w:ascii="Times New Roman;Times;serif" w:hAnsi="Times New Roman;Times;serif"/>
          <w:sz w:val="24"/>
        </w:rPr>
        <w:t xml:space="preserve">) and (b) a Certificate of Formation in the form attached hereto as </w:t>
      </w:r>
      <w:r>
        <w:rPr>
          <w:rFonts w:ascii="Times New Roman;Times;serif" w:hAnsi="Times New Roman;Times;serif"/>
          <w:sz w:val="24"/>
          <w:u w:val="single"/>
        </w:rPr>
        <w:t>Exhibit C</w:t>
      </w:r>
      <w:r>
        <w:rPr>
          <w:rFonts w:ascii="Helvetica;sans-serif" w:hAnsi="Helvetica;sans-serif"/>
          <w:sz w:val="22"/>
        </w:rPr>
        <w:t xml:space="preserve"> </w:t>
      </w:r>
      <w:r>
        <w:rPr>
          <w:rFonts w:ascii="Times New Roman;Times;serif" w:hAnsi="Times New Roman;Times;serif"/>
          <w:sz w:val="24"/>
        </w:rPr>
        <w:t>(the “</w:t>
      </w:r>
      <w:r>
        <w:rPr>
          <w:rFonts w:ascii="Times New Roman;Times;serif" w:hAnsi="Times New Roman;Times;serif"/>
          <w:b/>
          <w:i/>
          <w:sz w:val="24"/>
        </w:rPr>
        <w:t>Texas Charter</w:t>
      </w:r>
      <w:r>
        <w:rPr>
          <w:rFonts w:ascii="Helvetica;sans-serif" w:hAnsi="Helvetica;sans-serif"/>
          <w:sz w:val="22"/>
        </w:rPr>
        <w:t>”</w:t>
      </w:r>
      <w:r>
        <w:rPr>
          <w:rFonts w:ascii="Times New Roman;Times;serif" w:hAnsi="Times New Roman;Times;serif"/>
          <w:sz w:val="24"/>
        </w:rPr>
        <w:t>) and any and all documents required to be filed with the Texas Secretary of State in connection with the Conversion and the Converting Entity or the Converted Entity, as applicable, and shall make all other filings or recordings required by the DGCL or the TBOC in connection with the Conversion.</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10.</w:t>
      </w:r>
      <w:r>
        <w:rPr>
          <w:rFonts w:ascii="Times New Roman;Times;serif" w:hAnsi="Times New Roman;Times;serif"/>
          <w:sz w:val="24"/>
          <w:u w:val="single"/>
        </w:rPr>
        <w:t>Effective Time</w:t>
      </w:r>
      <w:r>
        <w:rPr>
          <w:rFonts w:ascii="Times New Roman;Times;serif" w:hAnsi="Times New Roman;Times;serif"/>
          <w:sz w:val="24"/>
        </w:rPr>
        <w:t>.  The Conversion shall become effective upon the filing the Delaware Certificate of Conversion with the Delaware Secretary of State and the Texas Certificate of Conversion and the Texas Charter with the Texas Secretary of State (the “</w:t>
      </w:r>
      <w:r>
        <w:rPr>
          <w:rFonts w:ascii="Times New Roman;Times;serif" w:hAnsi="Times New Roman;Times;serif"/>
          <w:b/>
          <w:i/>
          <w:sz w:val="24"/>
        </w:rPr>
        <w:t>Effective Time</w:t>
      </w:r>
      <w:r>
        <w:rPr>
          <w:rFonts w:ascii="Helvetica;sans-serif" w:hAnsi="Helvetica;sans-serif"/>
          <w:sz w:val="22"/>
        </w:rPr>
        <w:t>”</w:t>
      </w:r>
      <w:r>
        <w:rPr>
          <w:rFonts w:ascii="Times New Roman;Times;serif" w:hAnsi="Times New Roman;Times;serif"/>
          <w:sz w:val="24"/>
        </w:rPr>
        <w:t>).</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11.</w:t>
      </w:r>
      <w:r>
        <w:rPr>
          <w:rFonts w:ascii="Times New Roman;Times;serif" w:hAnsi="Times New Roman;Times;serif"/>
          <w:sz w:val="24"/>
          <w:u w:val="single"/>
        </w:rPr>
        <w:t>Registrations/Qualifications To Do Business</w:t>
      </w:r>
      <w:r>
        <w:rPr>
          <w:rFonts w:ascii="Times New Roman;Times;serif" w:hAnsi="Times New Roman;Times;serif"/>
          <w:sz w:val="24"/>
        </w:rPr>
        <w:t xml:space="preserve">.   For the purpose of authorizing the Converted Entity to do business in any state, territory, or dependency of the United States, including, but not limited to, Delaware, or of any foreign country in which it is necessary or expedient for the Converted Entity to transact business, the officers of the Converted Entity are hereby authorized and empowered to appoint and substitute all necessary agents or attorneys for service of process, to designate and to prepare, execute, and file, for and on behalf of the Converted Entity, all necessary certificates, reports, powers of attorney, and other instruments as may be required by the laws of such state, territory, dependency, or country to authorize the Converted Entity to transact business therein, and whenever it is expedient for the Converted Entity to cease doing business therein and withdraw therefrom, to revoke any appointment of agent or attorney for service of process, and to file such certificates, reports, revocation of appointment, or surrender of authority as may be necessary to terminate the authority of the Converted Entity to do business in any such state, territory, dependency, or country, and all actions taken by the officers of the Converted Entity prior to the Effective Time in furtherance of this Section 11 shall be, and each of them hereby is, approved, ratified and confirmed in all respects as the proper acts and deeds of the Converted Entity. </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12.</w:t>
      </w:r>
      <w:r>
        <w:rPr>
          <w:rFonts w:ascii="Times New Roman;Times;serif" w:hAnsi="Times New Roman;Times;serif"/>
          <w:sz w:val="24"/>
          <w:u w:val="single"/>
        </w:rPr>
        <w:t>Effect of the Conversion</w:t>
      </w:r>
      <w:r>
        <w:rPr>
          <w:rFonts w:ascii="Times New Roman;Times;serif" w:hAnsi="Times New Roman;Times;serif"/>
          <w:sz w:val="24"/>
        </w:rPr>
        <w:t>.  At the Effective Time, the effect of the Conversion will be as provided by this Plan and by the applicable provisions of the DGCL and the TBOC.  Without limitation of the foregoing, for all purposes of the laws of the State of Delaware and the State of Texas, all of the rights, privileges, and powers of the Converting Entity, and all property, real, personal, and mixed, and all debts due to the Converting Entity, as well as all other things and causes of action belonging to the Converting Entity, shall remain vested in the Converted Entity and shall be the property of the Converted Entity, and all debts, liabilities, and duties of the Converting Entity shall remain attached to the Converted Entity, and may be enforced against the Converted Entity to the same extent as if said debts, liabilities, and duties had originally been incurred or contracted by the Converted Entity.</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13.</w:t>
      </w:r>
      <w:r>
        <w:rPr>
          <w:rFonts w:ascii="Times New Roman;Times;serif" w:hAnsi="Times New Roman;Times;serif"/>
          <w:sz w:val="24"/>
          <w:u w:val="single"/>
        </w:rPr>
        <w:t>Governance of the Converted Entity</w:t>
      </w:r>
      <w:r>
        <w:rPr>
          <w:rFonts w:ascii="Times New Roman;Times;serif" w:hAnsi="Times New Roman;Times;serif"/>
          <w:sz w:val="24"/>
        </w:rPr>
        <w:t xml:space="preserve">.  On and after the Effective Time, the TBOC, the Texas Charter and the bylaws of the Converted Entity in the form attached hereto as </w:t>
      </w:r>
      <w:r>
        <w:rPr>
          <w:rFonts w:ascii="Times New Roman;Times;serif" w:hAnsi="Times New Roman;Times;serif"/>
          <w:sz w:val="24"/>
          <w:u w:val="single"/>
        </w:rPr>
        <w:t>Exhibit D</w:t>
      </w:r>
      <w:r>
        <w:rPr>
          <w:rFonts w:ascii="Helvetica;sans-serif" w:hAnsi="Helvetica;sans-serif"/>
          <w:sz w:val="22"/>
        </w:rPr>
        <w:t xml:space="preserve"> </w:t>
      </w:r>
      <w:r>
        <w:rPr>
          <w:rFonts w:ascii="Times New Roman;Times;serif" w:hAnsi="Times New Roman;Times;serif"/>
          <w:sz w:val="24"/>
        </w:rPr>
        <w:t>(the “</w:t>
      </w:r>
      <w:r>
        <w:rPr>
          <w:rFonts w:ascii="Times New Roman;Times;serif" w:hAnsi="Times New Roman;Times;serif"/>
          <w:b/>
          <w:i/>
          <w:sz w:val="24"/>
        </w:rPr>
        <w:t>Texas Bylaws</w:t>
      </w:r>
      <w:r>
        <w:rPr>
          <w:rFonts w:ascii="Helvetica;sans-serif" w:hAnsi="Helvetica;sans-serif"/>
          <w:sz w:val="22"/>
        </w:rPr>
        <w:t xml:space="preserve">” </w:t>
      </w:r>
      <w:r>
        <w:rPr>
          <w:rFonts w:ascii="Times New Roman;Times;serif" w:hAnsi="Times New Roman;Times;serif"/>
          <w:sz w:val="24"/>
        </w:rPr>
        <w:t>and together with the Texas Charter, the “</w:t>
      </w:r>
      <w:r>
        <w:rPr>
          <w:rFonts w:ascii="Times New Roman;Times;serif" w:hAnsi="Times New Roman;Times;serif"/>
          <w:b/>
          <w:i/>
          <w:sz w:val="24"/>
        </w:rPr>
        <w:t>Texas Governing Documents</w:t>
      </w:r>
      <w:r>
        <w:rPr>
          <w:rFonts w:ascii="Helvetica;sans-serif" w:hAnsi="Helvetica;sans-serif"/>
          <w:sz w:val="22"/>
        </w:rPr>
        <w:t>”</w:t>
      </w:r>
      <w:r>
        <w:rPr>
          <w:rFonts w:ascii="Times New Roman;Times;serif" w:hAnsi="Times New Roman;Times;serif"/>
          <w:sz w:val="24"/>
        </w:rPr>
        <w:t>) shall govern the Converted Entity.</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14.</w:t>
      </w:r>
      <w:r>
        <w:rPr>
          <w:rFonts w:ascii="Times New Roman;Times;serif" w:hAnsi="Times New Roman;Times;serif"/>
          <w:sz w:val="24"/>
          <w:u w:val="single"/>
        </w:rPr>
        <w:t>Directors and Officers</w:t>
      </w:r>
      <w:r>
        <w:rPr>
          <w:rFonts w:ascii="Times New Roman;Times;serif" w:hAnsi="Times New Roman;Times;serif"/>
          <w:sz w:val="24"/>
        </w:rPr>
        <w:t>.  On and after the Effective Time, by virtue of the Conversion and without any further action on the part of the Converting Entity or its stockholders, the members of the Board and the officers of the Converting Entity holding their respective offices in the Converting Entity existing immediately prior to the Effective Time shall continue in their respective offices as members of the Board and officers of the Converted Entity, as applicable.</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15.</w:t>
      </w:r>
      <w:r>
        <w:rPr>
          <w:rFonts w:ascii="Times New Roman;Times;serif" w:hAnsi="Times New Roman;Times;serif"/>
          <w:sz w:val="24"/>
          <w:u w:val="single"/>
        </w:rPr>
        <w:t>Amendment or Abandonment</w:t>
      </w:r>
      <w:r>
        <w:rPr>
          <w:rFonts w:ascii="Times New Roman;Times;serif" w:hAnsi="Times New Roman;Times;serif"/>
          <w:sz w:val="24"/>
        </w:rPr>
        <w:t>. This Plan may be amended or abandoned by the Converting Entity and the Conversion may be abandoned at any time prior to the Effective Time by the Board.</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16.</w:t>
      </w:r>
      <w:r>
        <w:rPr>
          <w:rFonts w:ascii="Times New Roman;Times;serif" w:hAnsi="Times New Roman;Times;serif"/>
          <w:sz w:val="24"/>
          <w:u w:val="single"/>
        </w:rPr>
        <w:t>Governing Law</w:t>
      </w:r>
      <w:r>
        <w:rPr>
          <w:rFonts w:ascii="Times New Roman;Times;serif" w:hAnsi="Times New Roman;Times;serif"/>
          <w:sz w:val="24"/>
        </w:rPr>
        <w:t>. All issues and questions concerning the application, construction, validity, interpretation, and enforcement of this Plan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pStyle w:val="TextBody"/>
        <w:bidi w:val="0"/>
        <w:spacing w:lineRule="auto" w:line="285" w:before="0" w:after="240"/>
        <w:ind w:left="0" w:right="0" w:hanging="0"/>
        <w:jc w:val="both"/>
        <w:rPr>
          <w:rFonts w:ascii="Helvetica;sans-serif" w:hAnsi="Helvetica;sans-serif"/>
          <w:sz w:val="22"/>
        </w:rPr>
      </w:pPr>
      <w:r>
        <w:rPr>
          <w:rFonts w:ascii="Times New Roman;Times;serif" w:hAnsi="Times New Roman;Times;serif"/>
          <w:sz w:val="24"/>
        </w:rPr>
        <w:t>17.</w:t>
      </w:r>
      <w:r>
        <w:rPr>
          <w:rFonts w:ascii="Times New Roman;Times;serif" w:hAnsi="Times New Roman;Times;serif"/>
          <w:sz w:val="24"/>
          <w:u w:val="single"/>
        </w:rPr>
        <w:t>Third Party Beneficiaries</w:t>
      </w:r>
      <w:r>
        <w:rPr>
          <w:rFonts w:ascii="Times New Roman;Times;serif" w:hAnsi="Times New Roman;Times;serif"/>
          <w:sz w:val="24"/>
        </w:rPr>
        <w:t>. This Plan shall not confer any rights or remedies upon any person or entity other than as expressly provided herein. It being understood that, notwithstanding anything to the contrary in this Plan, no provision of this Plan is intended to, or does, confer any rights or remedies on any current or former employee or other service provider of the Converting Entity (nor any other individual associated therewith) and none of such individuals shall be regarded for any purpose as a third party beneficiary to this Plan.</w:t>
      </w:r>
    </w:p>
    <w:p>
      <w:pPr>
        <w:pStyle w:val="TextBody"/>
        <w:bidi w:val="0"/>
        <w:spacing w:lineRule="auto" w:line="285"/>
        <w:ind w:left="0" w:right="0" w:hanging="0"/>
        <w:jc w:val="both"/>
        <w:rPr>
          <w:rFonts w:ascii="Helvetica;sans-serif" w:hAnsi="Helvetica;sans-serif"/>
          <w:sz w:val="22"/>
        </w:rPr>
      </w:pPr>
      <w:r>
        <w:rPr>
          <w:rFonts w:ascii="Times New Roman;Times;serif" w:hAnsi="Times New Roman;Times;serif"/>
          <w:sz w:val="24"/>
        </w:rPr>
        <w:t>18.</w:t>
      </w:r>
      <w:r>
        <w:rPr>
          <w:rFonts w:ascii="Times New Roman;Times;serif" w:hAnsi="Times New Roman;Times;serif"/>
          <w:sz w:val="24"/>
          <w:u w:val="single"/>
        </w:rPr>
        <w:t>Severability</w:t>
      </w:r>
      <w:r>
        <w:rPr>
          <w:rFonts w:ascii="Times New Roman;Times;serif" w:hAnsi="Times New Roman;Times;serif"/>
          <w:sz w:val="24"/>
        </w:rPr>
        <w:t>.   Whenever possible, each term and provision of this Plan will be interpreted in such manner as to be effective and valid under applicable law, but if any term or provision of this Plan is held to be prohibited by or invalid under applicable law or in any jurisdiction, such term or provision will be ineffective only to the extent, of such prohibition or invalidity, without invalidating the remainder of this Plan. Upon the determination that any term or provision of this Plan is invalid, illegal or unenforceable, such term or provision shall be deemed amended in such jurisdiction, without further action on the part of any person or entity, to the limited extent necessary to render the same valid, legal or enforceable.</w:t>
      </w:r>
    </w:p>
    <w:p>
      <w:pPr>
        <w:pStyle w:val="TextBody"/>
        <w:bidi w:val="0"/>
        <w:spacing w:lineRule="auto" w:line="285" w:before="0" w:after="240"/>
        <w:ind w:left="0" w:right="0" w:hanging="0"/>
        <w:jc w:val="center"/>
        <w:rPr>
          <w:rFonts w:ascii="Helvetica;sans-serif" w:hAnsi="Helvetica;sans-serif"/>
          <w:sz w:val="22"/>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bidi w:val="0"/>
        <w:spacing w:lineRule="auto" w:line="307" w:before="0" w:after="16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this Plan of Conversion is executed as of the date first set forth above.</w:t>
      </w:r>
    </w:p>
    <w:p>
      <w:pPr>
        <w:pStyle w:val="TextBody"/>
        <w:bidi w:val="0"/>
        <w:spacing w:lineRule="auto" w:line="307" w:before="0" w:after="160"/>
        <w:ind w:left="3600" w:right="0" w:hanging="0"/>
        <w:jc w:val="both"/>
        <w:rPr/>
      </w:pPr>
      <w:r>
        <w:rPr/>
        <w:t>​</w:t>
      </w:r>
    </w:p>
    <w:p>
      <w:pPr>
        <w:pStyle w:val="TextBody"/>
        <w:bidi w:val="0"/>
        <w:spacing w:lineRule="auto" w:line="285" w:before="0" w:after="0"/>
        <w:ind w:left="4320" w:right="0" w:hanging="0"/>
        <w:jc w:val="both"/>
        <w:rPr>
          <w:rFonts w:ascii="Helvetica;sans-serif" w:hAnsi="Helvetica;sans-serif"/>
          <w:sz w:val="22"/>
        </w:rPr>
      </w:pPr>
      <w:r>
        <w:rPr>
          <w:rFonts w:ascii="Times New Roman;Times;serif" w:hAnsi="Times New Roman;Times;serif"/>
          <w:b/>
          <w:sz w:val="24"/>
        </w:rPr>
        <w:t>AERSALE CORPORATION</w:t>
      </w:r>
      <w:r>
        <w:rPr>
          <w:rFonts w:ascii="Times New Roman;Times;serif" w:hAnsi="Times New Roman;Times;serif"/>
          <w:sz w:val="24"/>
        </w:rPr>
        <w:t xml:space="preserve">, </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a Delaware corporation</w:t>
      </w:r>
    </w:p>
    <w:p>
      <w:pPr>
        <w:pStyle w:val="TextBody"/>
        <w:bidi w:val="0"/>
        <w:spacing w:lineRule="auto" w:line="307" w:before="0" w:after="160"/>
        <w:ind w:left="4320" w:right="0" w:hanging="0"/>
        <w:jc w:val="both"/>
        <w:rPr/>
      </w:pPr>
      <w:r>
        <w:rPr/>
        <w:t>​</w:t>
      </w:r>
    </w:p>
    <w:p>
      <w:pPr>
        <w:pStyle w:val="TextBody"/>
        <w:bidi w:val="0"/>
        <w:spacing w:lineRule="auto" w:line="307" w:before="0" w:after="16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u w:val="single"/>
        </w:rPr>
      </w:pPr>
      <w:r>
        <w:rPr>
          <w:rFonts w:ascii="Times New Roman;Times;serif" w:hAnsi="Times New Roman;Times;serif"/>
          <w:sz w:val="24"/>
          <w:u w:val="single"/>
        </w:rPr>
        <w:t>By:​ ​/s/ Paul Hechenberger​ ​​ ​</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Paul Hechenberger</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 General Counsel and Corporate Secretary</w:t>
      </w:r>
    </w:p>
    <w:p>
      <w:pPr>
        <w:pStyle w:val="TextBody"/>
        <w:bidi w:val="0"/>
        <w:spacing w:lineRule="auto" w:line="307" w:before="0" w:after="160"/>
        <w:ind w:left="4320" w:right="0" w:hanging="0"/>
        <w:jc w:val="both"/>
        <w:rPr/>
      </w:pPr>
      <w:r>
        <w:rPr/>
        <w:t>​</w:t>
      </w:r>
    </w:p>
    <w:p>
      <w:pPr>
        <w:pStyle w:val="TextBody"/>
        <w:bidi w:val="0"/>
        <w:spacing w:lineRule="auto" w:line="307" w:before="0" w:after="160"/>
        <w:ind w:left="4320" w:right="0" w:hanging="0"/>
        <w:jc w:val="both"/>
        <w:rPr/>
      </w:pPr>
      <w:r>
        <w:rPr/>
        <w:t>​</w:t>
      </w:r>
    </w:p>
    <w:p>
      <w:pPr>
        <w:pStyle w:val="TextBody"/>
        <w:bidi w:val="0"/>
        <w:spacing w:lineRule="auto" w:line="307" w:before="0" w:after="160"/>
        <w:ind w:left="4320" w:right="0" w:hanging="0"/>
        <w:jc w:val="both"/>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Delaware Certificate of Conversion</w:t>
      </w:r>
    </w:p>
    <w:p>
      <w:pPr>
        <w:pStyle w:val="TextBody"/>
        <w:bidi w:val="0"/>
        <w:spacing w:lineRule="atLeast" w:line="240" w:before="0" w:after="240"/>
        <w:ind w:left="0" w:right="0" w:hanging="0"/>
        <w:jc w:val="center"/>
        <w:rPr>
          <w:rFonts w:ascii="Times New Roman;Times;serif" w:hAnsi="Times New Roman;Times;serif"/>
          <w:sz w:val="24"/>
        </w:rPr>
      </w:pPr>
      <w:r>
        <w:rPr>
          <w:rFonts w:ascii="Times New Roman;Times;serif" w:hAnsi="Times New Roman;Times;serif"/>
          <w:sz w:val="24"/>
        </w:rPr>
        <w:t>(See attached)</w:t>
      </w:r>
    </w:p>
    <w:p>
      <w:pPr>
        <w:pStyle w:val="TextBody"/>
        <w:bidi w:val="0"/>
        <w:spacing w:lineRule="auto" w:line="307" w:before="0" w:after="160"/>
        <w:ind w:left="0" w:right="0" w:hanging="0"/>
        <w:jc w:val="center"/>
        <w:rPr>
          <w:shd w:fill="FFFF00" w:val="clear"/>
        </w:rPr>
      </w:pPr>
      <w:r>
        <w:rPr>
          <w:shd w:fill="FFFF00" w:val="clea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Texas Certificate of Conversion</w:t>
      </w:r>
    </w:p>
    <w:p>
      <w:pPr>
        <w:pStyle w:val="TextBody"/>
        <w:bidi w:val="0"/>
        <w:spacing w:lineRule="atLeast" w:line="240" w:before="0" w:after="240"/>
        <w:ind w:left="0" w:right="0" w:hanging="0"/>
        <w:jc w:val="center"/>
        <w:rPr>
          <w:rFonts w:ascii="Times New Roman;Times;serif" w:hAnsi="Times New Roman;Times;serif"/>
          <w:sz w:val="24"/>
        </w:rPr>
      </w:pPr>
      <w:r>
        <w:rPr>
          <w:rFonts w:ascii="Times New Roman;Times;serif" w:hAnsi="Times New Roman;Times;serif"/>
          <w:sz w:val="24"/>
        </w:rPr>
        <w:t>(See attached)</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Texas Charter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(See attached)</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EXHIBIT D</w:t>
      </w:r>
    </w:p>
    <w:p>
      <w:pPr>
        <w:pStyle w:val="TextBody"/>
        <w:bidi w:val="0"/>
        <w:spacing w:lineRule="atLeast" w:line="240" w:before="0" w:after="240"/>
        <w:ind w:left="0" w:right="0" w:hanging="0"/>
        <w:jc w:val="center"/>
        <w:rPr>
          <w:rFonts w:ascii="Times New Roman;Times;serif" w:hAnsi="Times New Roman;Times;serif"/>
          <w:b/>
          <w:sz w:val="24"/>
        </w:rPr>
      </w:pPr>
      <w:r>
        <w:rPr>
          <w:rFonts w:ascii="Times New Roman;Times;serif" w:hAnsi="Times New Roman;Times;serif"/>
          <w:b/>
          <w:sz w:val="24"/>
        </w:rPr>
        <w:t>Texas Bylaws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(See attached)</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6" w:name="asle-20260925xex3d1.htm"/>
      <w:bookmarkStart w:id="37" w:name="ksasle20260925xex3d1"/>
      <w:bookmarkEnd w:id="36"/>
      <w:bookmarkEnd w:id="37"/>
      <w:r>
        <w:rPr>
          <w:rFonts w:ascii="Times New Roman;Times;serif" w:hAnsi="Times New Roman;Times;serif"/>
          <w:b/>
          <w:sz w:val="20"/>
        </w:rPr>
        <w:t>Exhibit 3.1</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CERTIFICATE OF FORMATION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w:t>
      </w:r>
    </w:p>
    <w:p>
      <w:pPr>
        <w:pStyle w:val="TextBody"/>
        <w:bidi w:val="0"/>
        <w:spacing w:before="0" w:after="120"/>
        <w:ind w:left="0" w:right="0" w:hanging="0"/>
        <w:jc w:val="center"/>
        <w:rPr>
          <w:rFonts w:ascii="Times New Roman;Times;serif" w:hAnsi="Times New Roman;Times;serif"/>
          <w:b/>
          <w:caps/>
          <w:sz w:val="24"/>
        </w:rPr>
      </w:pPr>
      <w:r>
        <w:rPr>
          <w:rFonts w:ascii="Times New Roman;Times;serif" w:hAnsi="Times New Roman;Times;serif"/>
          <w:b/>
          <w:caps/>
          <w:sz w:val="24"/>
        </w:rPr>
        <w:t>AERSALE CORPORATION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4"/>
        </w:rPr>
        <w:t>AerSale Corporation, a corporation organized and existing under the laws of the State of Texas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hereby certifies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AerSale Corporation, a Delaware corporation (the “</w:t>
      </w:r>
      <w:r>
        <w:rPr>
          <w:rFonts w:ascii="Times New Roman;Times;serif" w:hAnsi="Times New Roman;Times;serif"/>
          <w:b/>
          <w:i/>
          <w:sz w:val="24"/>
        </w:rPr>
        <w:t>Delaware Corporation</w:t>
      </w:r>
      <w:r>
        <w:rPr>
          <w:rFonts w:ascii="Times New Roman;Times;serif" w:hAnsi="Times New Roman;Times;serif"/>
          <w:sz w:val="20"/>
        </w:rPr>
        <w:t>”</w:t>
      </w:r>
      <w:r>
        <w:rPr>
          <w:rFonts w:ascii="Times New Roman;Times;serif" w:hAnsi="Times New Roman;Times;serif"/>
          <w:sz w:val="24"/>
        </w:rPr>
        <w:t>), with its principal place of business at 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was originally incorporated in Delaware on December 2, 2019.</w:t>
      </w:r>
    </w:p>
    <w:p>
      <w:pPr>
        <w:pStyle w:val="TextBody"/>
        <w:bidi w:val="0"/>
        <w:spacing w:before="0" w:after="120"/>
        <w:ind w:left="1440" w:right="0" w:hanging="0"/>
        <w:jc w:val="both"/>
        <w:rPr/>
      </w:pPr>
      <w:r>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Delaware Corporation was converted into a corporation incorporated under the laws of the State of Texas under the name of “AerSale Corporation” on September 25, 2026 pursuant to a plan of conversion, under which the Delaware Corporation converted to the Company.</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I</w:t>
      </w:r>
    </w:p>
    <w:p>
      <w:pPr>
        <w:pStyle w:val="TextBody"/>
        <w:bidi w:val="0"/>
        <w:spacing w:before="0" w:after="120"/>
        <w:ind w:left="0" w:right="0" w:firstLine="720"/>
        <w:jc w:val="both"/>
        <w:rPr>
          <w:rFonts w:ascii="Times New Roman;Times;serif" w:hAnsi="Times New Roman;Times;serif"/>
          <w:sz w:val="24"/>
        </w:rPr>
      </w:pPr>
      <w:r>
        <w:rPr>
          <w:rFonts w:ascii="Times New Roman;Times;serif" w:hAnsi="Times New Roman;Times;serif"/>
          <w:sz w:val="24"/>
        </w:rPr>
        <w:t>The filing entity being formed is a for-profit corporation. The name of the Company is AerSale Corporation.</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II</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4"/>
        </w:rPr>
        <w:t>The name of the initial registered agent is Corporation Service Company d/b/a CSC-Lawyers Incorporating Service Company.  The business address of the initial registered agent and the registered office address is 211 E. 7th Street, Suite 620, Austin, Texas, 78701. The initial mailing address of the Company is 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III</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4"/>
        </w:rPr>
        <w:t>The purpose of the Company is to engage in any lawful act or activity for which a for-profit corporation may be organized under the Texas Business Organizations Code (the “</w:t>
      </w:r>
      <w:r>
        <w:rPr>
          <w:rFonts w:ascii="Times New Roman;Times;serif" w:hAnsi="Times New Roman;Times;serif"/>
          <w:b/>
          <w:i/>
          <w:sz w:val="24"/>
        </w:rPr>
        <w:t>TBOC</w:t>
      </w:r>
      <w:r>
        <w:rPr>
          <w:rFonts w:ascii="Times New Roman;Times;serif" w:hAnsi="Times New Roman;Times;serif"/>
          <w:sz w:val="20"/>
        </w:rPr>
        <w:t>”</w:t>
      </w:r>
      <w:r>
        <w:rPr>
          <w:rFonts w:ascii="Times New Roman;Times;serif" w:hAnsi="Times New Roman;Times;serif"/>
          <w:sz w:val="24"/>
        </w:rPr>
        <w:t>), as the same exists or as may hereafter be amended from time to time.</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IV</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w:t>
      </w:r>
      <w:r>
        <w:rPr>
          <w:rFonts w:ascii="Times New Roman;Times;serif" w:hAnsi="Times New Roman;Times;serif"/>
          <w:sz w:val="24"/>
          <w:u w:val="single"/>
        </w:rPr>
        <w:t>Authorized Capital Stock</w:t>
      </w:r>
      <w:r>
        <w:rPr>
          <w:rFonts w:ascii="Times New Roman;Times;serif" w:hAnsi="Times New Roman;Times;serif"/>
          <w:sz w:val="24"/>
        </w:rPr>
        <w:t>.  The total number of shares of capital stock the Company has authority to issue is 200,000,000 shares of common stock, par value, $0.0001 per share (“</w:t>
      </w:r>
      <w:r>
        <w:rPr>
          <w:rFonts w:ascii="Times New Roman;Times;serif" w:hAnsi="Times New Roman;Times;serif"/>
          <w:b/>
          <w:i/>
          <w:sz w:val="24"/>
        </w:rPr>
        <w:t>Common Stock</w:t>
      </w:r>
      <w:r>
        <w:rPr>
          <w:rFonts w:ascii="Times New Roman;Times;serif" w:hAnsi="Times New Roman;Times;serif"/>
          <w:sz w:val="20"/>
        </w:rPr>
        <w:t>”</w:t>
      </w:r>
      <w:r>
        <w:rPr>
          <w:rFonts w:ascii="Times New Roman;Times;serif" w:hAnsi="Times New Roman;Times;serif"/>
          <w:sz w:val="24"/>
        </w:rPr>
        <w:t>), and 5,000,000 shares of preferred stock, par value $0.0001 per share (“</w:t>
      </w:r>
      <w:r>
        <w:rPr>
          <w:rFonts w:ascii="Times New Roman;Times;serif" w:hAnsi="Times New Roman;Times;serif"/>
          <w:b/>
          <w:i/>
          <w:sz w:val="24"/>
        </w:rPr>
        <w:t>Preferred Stock</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Adjustment in Authorized Capital Stock</w:t>
      </w:r>
      <w:r>
        <w:rPr>
          <w:rFonts w:ascii="Times New Roman;Times;serif" w:hAnsi="Times New Roman;Times;serif"/>
          <w:sz w:val="24"/>
        </w:rPr>
        <w:t>.  Except as otherwise may be expressly provided by the terms of any series of Preferred Stock, the number of authorized shares of Common Stock or Preferred Stock may be increased or decreased (but not below the number of shares of Common Stock or Preferred Stock then outstanding, as applicable) by an affirmative vote of the holders of a majority of the total voting power represented by the outstanding capital stock of the Company entitled to vote thereon, and without a separate class vote by the Common Stock or Preferred Stock, except as may be required by the TBOC.</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Common Stock</w:t>
      </w:r>
      <w:r>
        <w:rPr>
          <w:rFonts w:ascii="Times New Roman;Times;serif" w:hAnsi="Times New Roman;Times;serif"/>
          <w:sz w:val="24"/>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i/>
          <w:sz w:val="24"/>
        </w:rPr>
        <w:t>Voting Power.  </w:t>
      </w:r>
      <w:r>
        <w:rPr>
          <w:rFonts w:ascii="Times New Roman;Times;serif" w:hAnsi="Times New Roman;Times;serif"/>
          <w:sz w:val="24"/>
        </w:rPr>
        <w:t>The holders of shares of Common Stock shall be entitled to one vote for each such share on each matter properly submitted to the shareholders on which the holders of shares of Common Stock are entitled to vote. Except as otherwise required by law or this certificate of formation (this “</w:t>
      </w:r>
      <w:r>
        <w:rPr>
          <w:rFonts w:ascii="Times New Roman;Times;serif" w:hAnsi="Times New Roman;Times;serif"/>
          <w:b/>
          <w:i/>
          <w:sz w:val="24"/>
        </w:rPr>
        <w:t>Certificate of Formation</w:t>
      </w:r>
      <w:r>
        <w:rPr>
          <w:rFonts w:ascii="Times New Roman;Times;serif" w:hAnsi="Times New Roman;Times;serif"/>
          <w:sz w:val="20"/>
        </w:rPr>
        <w:t xml:space="preserve">” </w:t>
      </w:r>
      <w:r>
        <w:rPr>
          <w:rFonts w:ascii="Times New Roman;Times;serif" w:hAnsi="Times New Roman;Times;serif"/>
          <w:sz w:val="24"/>
        </w:rPr>
        <w:t xml:space="preserve">which term, as used herein, shall mean the certificate of formation of the Corporation, as amended from time to time, including the terms of any certificate of designations of any series of Preferred Stock), and subject to the rights of the holders of Preferred Stock, at any annual or special meeting of the shareholders the holders of shares of Common Stock shall have the right to vote for the election of directors and on all other matters properly submitted to a vote of the shareholders; provided, however, that, except as otherwise required by law, holders of Common Stock shall not be entitled to vote on any amendment to this Certificate of Formation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Formation (including, without limitation, by any certificate of designations relating to any series of Preferred Stock) or pursuant to the TBOC. To the maximum extent permitted by the TBOC, but subject to the rights, if any, of the holders of Preferred Stock as specified in this Certificate of Formation or in any certificate of designation, and further subject to the Bylaws and the provisions of </w:t>
      </w:r>
      <w:r>
        <w:rPr>
          <w:rFonts w:ascii="Times New Roman;Times;serif" w:hAnsi="Times New Roman;Times;serif"/>
          <w:sz w:val="24"/>
          <w:u w:val="single"/>
        </w:rPr>
        <w:t>ARTICLE X</w:t>
      </w:r>
      <w:r>
        <w:rPr>
          <w:rFonts w:ascii="Times New Roman;Times;serif" w:hAnsi="Times New Roman;Times;serif"/>
          <w:sz w:val="20"/>
        </w:rPr>
        <w:t xml:space="preserve"> </w:t>
      </w:r>
      <w:r>
        <w:rPr>
          <w:rFonts w:ascii="Times New Roman;Times;serif" w:hAnsi="Times New Roman;Times;serif"/>
          <w:sz w:val="24"/>
        </w:rPr>
        <w:t>of this Certificate of Formation, the vote of shareholders holding a majority of the shares of stock entitled to vote on the matter then outstanding shall be sufficient to approve, authorize, adopt, or to otherwise cause the Company to take, or affirm the Company’s taking of, any action, including any “fundamental business transaction” as defined in the TBOC.</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i/>
          <w:sz w:val="24"/>
        </w:rPr>
        <w:t>Dividends and Distributions</w:t>
      </w:r>
      <w:r>
        <w:rPr>
          <w:rFonts w:ascii="Times New Roman;Times;serif" w:hAnsi="Times New Roman;Times;serif"/>
          <w:sz w:val="24"/>
        </w:rPr>
        <w:t>.  Subject to the rights of the holders of Preferred Stock, the holders of shares of Common Stock shall be entitled to receive such dividends and other distributions (payable in cash, property or capital stock of the Company) when, as and if declared thereon by the Board (a from time to time out of any assets or funds of the Company legally available therefor and shall share equally on a per share basis in such dividends and distributions.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i/>
          <w:sz w:val="24"/>
        </w:rPr>
        <w:t>Liquidation, Dissolution or Winding Up</w:t>
      </w:r>
      <w:r>
        <w:rPr>
          <w:rFonts w:ascii="Times New Roman;Times;serif" w:hAnsi="Times New Roman;Times;serif"/>
          <w:sz w:val="24"/>
        </w:rPr>
        <w:t>.  In the event of any voluntary or involuntary liquidation, dissolution or winding-up of the Company, after payment or provision for payment of the debts and other liabilities of the Company, and subject to the rights of the holders of Preferred Stock in respect thereof, the holders of shares of Common Stock shall be entitled to receive all the remaining assets of the Company available for distribution to its shareholders, ratably in proportion to the number of shares of Common Stock held by them.</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4.4</w:t>
      </w:r>
      <w:r>
        <w:rPr>
          <w:rFonts w:ascii="Times New Roman;Times;serif" w:hAnsi="Times New Roman;Times;serif"/>
          <w:sz w:val="24"/>
          <w:u w:val="single"/>
        </w:rPr>
        <w:t>Preferred Stock</w:t>
      </w:r>
      <w:r>
        <w:rPr>
          <w:rFonts w:ascii="Times New Roman;Times;serif" w:hAnsi="Times New Roman;Times;serif"/>
          <w:sz w:val="24"/>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The Preferred Stock may be issued from time to time in one or more series pursuant to a resolution or resolutions providing for such issue duly adopted by the board of directors of the Company (the “</w:t>
      </w:r>
      <w:r>
        <w:rPr>
          <w:rFonts w:ascii="Times New Roman;Times;serif" w:hAnsi="Times New Roman;Times;serif"/>
          <w:b/>
          <w:i/>
          <w:sz w:val="24"/>
        </w:rPr>
        <w:t>Board</w:t>
      </w:r>
      <w:r>
        <w:rPr>
          <w:rFonts w:ascii="Times New Roman;Times;serif" w:hAnsi="Times New Roman;Times;serif"/>
          <w:sz w:val="20"/>
        </w:rPr>
        <w:t>”</w:t>
      </w:r>
      <w:r>
        <w:rPr>
          <w:rFonts w:ascii="Times New Roman;Times;serif" w:hAnsi="Times New Roman;Times;serif"/>
          <w:sz w:val="24"/>
        </w:rPr>
        <w:t xml:space="preserve">) (authority to do so being hereby expressly vested in the Board); provided that any such resolution shall be set forth in a statement filed with the Texas Secretary of State as required by Section 21.156 of the TBOC. The Board is further authorized, subject to limitations prescribed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law, to fix by resolution or resolutions and to set forth in a certificate of designations filed pursuant to the TBOC the powers, designations, preferences and relative, participation, optional or other rights, if any, and the qualifications, limitations or restrictions thereof, if any, of any series of Preferred Stock, including, without limitation,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Formation or the resolution of the Board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ARTICLE V</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General Powers</w:t>
      </w:r>
      <w:r>
        <w:rPr>
          <w:rFonts w:ascii="Times New Roman;Times;serif" w:hAnsi="Times New Roman;Times;serif"/>
          <w:sz w:val="24"/>
        </w:rPr>
        <w:t>. The business and affairs of the Company shall be managed by or under the direction of the Board. In furtherance and not in limitation of the powers conferred by statute, the Board is expressly authorized to make, alter, amend or repeal the Bylaws of the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Number of Directors; Initial Directors; Term; Election</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Subject to the rights of holders of any series of Preferred Stock with respect to the election of directors, the number of directors that constitutes the whole Board shall be fixed exclusively by resolution of the Board. The Board currently consists of seven directors, and the names and addresses of such directors are:</w:t>
      </w:r>
    </w:p>
    <w:p>
      <w:pPr>
        <w:pStyle w:val="TextBody"/>
        <w:bidi w:val="0"/>
        <w:spacing w:before="0" w:after="0"/>
        <w:ind w:left="0" w:right="0" w:hanging="0"/>
        <w:jc w:val="left"/>
        <w:rPr/>
      </w:pPr>
      <w:r>
        <w:rPr/>
        <w:t>​</w:t>
      </w:r>
    </w:p>
    <w:tbl>
      <w:tblPr>
        <w:tblW w:w="8147" w:type="dxa"/>
        <w:jc w:val="left"/>
        <w:tblInd w:w="0" w:type="dxa"/>
        <w:tblLayout w:type="fixed"/>
        <w:tblCellMar>
          <w:top w:w="0" w:type="dxa"/>
          <w:left w:w="0" w:type="dxa"/>
          <w:bottom w:w="28" w:type="dxa"/>
          <w:right w:w="0" w:type="dxa"/>
        </w:tblCellMar>
      </w:tblPr>
      <w:tblGrid>
        <w:gridCol w:w="2851"/>
        <w:gridCol w:w="5296"/>
      </w:tblGrid>
      <w:tr>
        <w:trPr/>
        <w:tc>
          <w:tcPr>
            <w:tcW w:w="28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Name</w:t>
            </w:r>
          </w:p>
        </w:tc>
        <w:tc>
          <w:tcPr>
            <w:tcW w:w="52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Address</w:t>
            </w:r>
          </w:p>
        </w:tc>
      </w:tr>
      <w:tr>
        <w:trPr/>
        <w:tc>
          <w:tcPr>
            <w:tcW w:w="285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Nicolas Finazzo</w:t>
            </w:r>
          </w:p>
        </w:tc>
        <w:tc>
          <w:tcPr>
            <w:tcW w:w="529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Robert B. Nichols</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Lt. General Judith A. Fedder</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Andrew Levy</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Mullins</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 Carol DiBattiste</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r>
        <w:trPr/>
        <w:tc>
          <w:tcPr>
            <w:tcW w:w="28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Mitchell</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9850 NW 41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Street, Suite 400, Doral, Florida, 33178</w:t>
            </w:r>
          </w:p>
        </w:tc>
      </w:tr>
    </w:tbl>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At a meeting of shareholders at which directors are to be elected and a quorum is present, a nominee for director shall be elected to the Board if the number of votes cast “for” such nominee’s election exceed the number of votes cast “against” such nominee’s election, excluding abstentions; provided that directors are elected by a plurality of the votes cast if the number of nominees exceeds the number of directors to be elected at such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Subject to the rights of holders of any series of Preferred Stock with respect to the election of directors, each director shall serve until his or her successor is duly elected and qualified or until his or her earlier death, resignation, or removal.</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Elections of directors need not be by written ballot unless otherwise provided in the Bylaws of the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Removal</w:t>
      </w:r>
      <w:r>
        <w:rPr>
          <w:rFonts w:ascii="Times New Roman;Times;serif" w:hAnsi="Times New Roman;Times;serif"/>
          <w:sz w:val="24"/>
        </w:rPr>
        <w:t>.   Subject to the rights of holders of any series of Preferred Stock with respect to the election of directors, a director may be removed from office by the shareholders of the Company in such manner as shall be provided in the Bylaws.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Vacancies and Newly Created Directorships</w:t>
      </w:r>
      <w:r>
        <w:rPr>
          <w:rFonts w:ascii="Times New Roman;Times;serif" w:hAnsi="Times New Roman;Times;serif"/>
          <w:sz w:val="24"/>
        </w:rPr>
        <w:t>.   Subject to the rights of holders of any series of Preferred Stock with respect to the election of directors, and except as otherwise provided in the TBOC, vacancies occurring on the Board for any reason and newly created directorships resulting from an increase in the authorized number of directors may be filled solely and exclusively by a majority vote of the remaining members of the Board, even if less than a quorum, or by a sole remaining director (and not by shareholders). A person so elected or appointed to fill a vacancy or newly created directorship shall hold office until the next annual meeting of shareholders and until his or her successor shall be duly elected and qualified.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Action by Written Consent of the Board of Directors</w:t>
      </w:r>
      <w:r>
        <w:rPr>
          <w:rFonts w:ascii="Times New Roman;Times;serif" w:hAnsi="Times New Roman;Times;serif"/>
          <w:sz w:val="24"/>
        </w:rPr>
        <w:t>.  Unless otherwise restricted by this Certificate of Formation or the TBOC, any action required or permitted to be taken at any meeting of the Board, or of any committee or subcommittee thereof, may be taken without a meeting all the members of the Board or committee or subcommittee, as the case may be, consent thereto in writing or by electronic transmission.</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VI</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6.1</w:t>
      </w:r>
      <w:r>
        <w:rPr>
          <w:rFonts w:ascii="Times New Roman;Times;serif" w:hAnsi="Times New Roman;Times;serif"/>
          <w:sz w:val="24"/>
          <w:u w:val="single"/>
        </w:rPr>
        <w:t>Action by Written Consent of Shareholders</w:t>
      </w:r>
      <w:r>
        <w:rPr>
          <w:rFonts w:ascii="Times New Roman;Times;serif" w:hAnsi="Times New Roman;Times;serif"/>
          <w:sz w:val="24"/>
        </w:rPr>
        <w:t>.  Except as otherwise provided by the TBOC, any action required or permitted by the TBOC to be taken at any annual or special meeting of shareholders of the Company may be taken without a meeting, without prior notice and without a vote, if a consent or consents in writing, setting forth the action so taken, is signed by holders having at least the minimum number of votes that would be necessary to take the action that is the subject of the consent at a meeting in which each holder entitled to vote thereon is present and votes.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6.2</w:t>
      </w:r>
      <w:r>
        <w:rPr>
          <w:rFonts w:ascii="Times New Roman;Times;serif" w:hAnsi="Times New Roman;Times;serif"/>
          <w:sz w:val="24"/>
          <w:u w:val="single"/>
        </w:rPr>
        <w:t>Special Meetings</w:t>
      </w:r>
      <w:r>
        <w:rPr>
          <w:rFonts w:ascii="Times New Roman;Times;serif" w:hAnsi="Times New Roman;Times;serif"/>
          <w:sz w:val="24"/>
        </w:rPr>
        <w:t>.  Except as otherwise may be expressly provided by the terms of any series of Preferred Stock, special meetings of shareholders of the Company may be called only by the Board, the chairperson of the Board, the chief executive officer or the president of the Company or, subject to the Bylaws, by the holders of not less than 50% (or the highest percentage of ownership that may be set under the TBOC) of the Company’s then outstanding shares of capital stock entitled to vote at such special meeting. To the extent permitted under the TBOC, the Board may cancel, postpone or reschedule any previously scheduled special meeting at any time, before or after the notice for such meeting has been sent to the shareholders.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6.3</w:t>
      </w:r>
      <w:r>
        <w:rPr>
          <w:rFonts w:ascii="Times New Roman;Times;serif" w:hAnsi="Times New Roman;Times;serif"/>
          <w:sz w:val="24"/>
          <w:u w:val="single"/>
        </w:rPr>
        <w:t>Advance Notice of Shareholder Business</w:t>
      </w:r>
      <w:r>
        <w:rPr>
          <w:rFonts w:ascii="Times New Roman;Times;serif" w:hAnsi="Times New Roman;Times;serif"/>
          <w:sz w:val="24"/>
        </w:rPr>
        <w:t>.  Advance notice of shareholder nominations for the election of directors and of business to be brought by shareholders before any meeting of the shareholders of the Company shall be given in the manner provided in the Bylaws of the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6.4</w:t>
      </w:r>
      <w:r>
        <w:rPr>
          <w:rFonts w:ascii="Times New Roman;Times;serif" w:hAnsi="Times New Roman;Times;serif"/>
          <w:sz w:val="24"/>
          <w:u w:val="single"/>
        </w:rPr>
        <w:t>No Cumulative Voting</w:t>
      </w:r>
      <w:r>
        <w:rPr>
          <w:rFonts w:ascii="Times New Roman;Times;serif" w:hAnsi="Times New Roman;Times;serif"/>
          <w:sz w:val="24"/>
        </w:rPr>
        <w:t>.  No shareholder will be permitted to cumulate votes at any election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ARTICLE VII</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Limitation of Personal Liability</w:t>
      </w:r>
      <w:r>
        <w:rPr>
          <w:rFonts w:ascii="Times New Roman;Times;serif" w:hAnsi="Times New Roman;Times;serif"/>
          <w:sz w:val="24"/>
        </w:rPr>
        <w:t>. To the fullest extent permitted by the TBOC, as the same exists or as may hereafter be amended from time to time, no director or officer of the Company shall be personally liable to the Company or its shareholders for monetary damages for an act or omission in the director’s or officer’s capacity as a director or officer, as applicable. If the TBOC is amended to authorize corporate action further eliminating or limiting the personal liability of directors or officers, then the liability of a director or officer of the Company shall be eliminated or limited to the fullest extent permitted by the TBOC, as so amended.</w:t>
      </w:r>
    </w:p>
    <w:p>
      <w:pPr>
        <w:pStyle w:val="TextBody"/>
        <w:bidi w:val="0"/>
        <w:spacing w:before="0" w:after="120"/>
        <w:ind w:left="0" w:right="0" w:firstLine="720"/>
        <w:jc w:val="both"/>
        <w:rPr>
          <w:rFonts w:ascii="Times New Roman;Times;serif" w:hAnsi="Times New Roman;Times;serif"/>
          <w:sz w:val="24"/>
        </w:rPr>
      </w:pPr>
      <w:r>
        <w:rPr>
          <w:rFonts w:ascii="Times New Roman;Times;serif" w:hAnsi="Times New Roman;Times;serif"/>
          <w:sz w:val="24"/>
        </w:rPr>
        <w:t>Neither any amendment nor repeal of this Section 7.1, nor the adoption of any provision of this Certificate of Formation inconsistent with this Section 7.1, shall eliminate or reduce the effect of this Section 7.1 in respect of any matter occurring, or any cause of action, suit or claim accruing or arising or that, but for this Section 7.1, would accrue or arise, prior to such amendment, repeal or adoption of an inconsistent provision.</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VIII</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Indemnification and Advancement of Expenses</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Subject to any provisions in the Bylaws related to indemnification of directors or officers of the Company, the Company shall indemnify, to the fullest extent permitted by applicable law, any director or officer of the Company who was or is a party or is threatened to be made a party to any threatened, pending or completed action, suit or proceeding, whether civil, criminal, administrative or investigative (a “</w:t>
      </w:r>
      <w:r>
        <w:rPr>
          <w:rFonts w:ascii="Times New Roman;Times;serif" w:hAnsi="Times New Roman;Times;serif"/>
          <w:b/>
          <w:i/>
          <w:sz w:val="24"/>
        </w:rPr>
        <w:t>Proceeding</w:t>
      </w:r>
      <w:r>
        <w:rPr>
          <w:rFonts w:ascii="Times New Roman;Times;serif" w:hAnsi="Times New Roman;Times;serif"/>
          <w:sz w:val="20"/>
        </w:rPr>
        <w:t>”</w:t>
      </w:r>
      <w:r>
        <w:rPr>
          <w:rFonts w:ascii="Times New Roman;Times;serif" w:hAnsi="Times New Roman;Times;serif"/>
          <w:sz w:val="24"/>
        </w:rPr>
        <w:t>)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initiated by such person only if the Proceeding was authorized by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Company shall have the power to indemnify, to the extent permitted by the TBOC, as it presently exists or may hereafter be amended from time to time, any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 right to indemnification or to advancement of expenses arising under a provision of this Certificate of Formation or a bylaw of the Company shall not be eliminated or impaired by an amendment to this Certificate of Formation or the Bylaws after the occurrence of the act or omission that is the subject of the civil, criminal, administrative or investigative action, suit or proceeding for which indemnification or advancement of expenses is sought, unless the provision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24"/>
        </w:rPr>
        <w:t>effect at the time of such act or omission explicitly authorizes such elimination or impairment after such action or omission has occurred.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ARTICLE IX</w:t>
      </w:r>
    </w:p>
    <w:p>
      <w:pPr>
        <w:pStyle w:val="TextBody"/>
        <w:bidi w:val="0"/>
        <w:spacing w:before="0" w:after="120"/>
        <w:ind w:left="0" w:right="0" w:firstLine="720"/>
        <w:jc w:val="left"/>
        <w:rPr>
          <w:rFonts w:ascii="Times New Roman;Times;serif" w:hAnsi="Times New Roman;Times;serif"/>
          <w:sz w:val="24"/>
        </w:rPr>
      </w:pPr>
      <w:r>
        <w:rPr>
          <w:rFonts w:ascii="Times New Roman;Times;serif" w:hAnsi="Times New Roman;Times;serif"/>
          <w:sz w:val="24"/>
        </w:rPr>
        <w:t>The Company elects not to be governed by Section 21.606 of the TBOC.</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X</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4"/>
        </w:rPr>
        <w:t xml:space="preserve">Except as provided in </w:t>
      </w:r>
      <w:r>
        <w:rPr>
          <w:rFonts w:ascii="Times New Roman;Times;serif" w:hAnsi="Times New Roman;Times;serif"/>
          <w:sz w:val="24"/>
          <w:u w:val="single"/>
        </w:rPr>
        <w:t>ARTICLE VII</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ARTICLE VIII</w:t>
      </w:r>
      <w:r>
        <w:rPr>
          <w:rFonts w:ascii="Times New Roman;Times;serif" w:hAnsi="Times New Roman;Times;serif"/>
          <w:sz w:val="20"/>
        </w:rPr>
        <w:t xml:space="preserve"> </w:t>
      </w:r>
      <w:r>
        <w:rPr>
          <w:rFonts w:ascii="Times New Roman;Times;serif" w:hAnsi="Times New Roman;Times;serif"/>
          <w:sz w:val="24"/>
        </w:rPr>
        <w:t>above, the Company reserves the right to amend, alter, change or repeal any provision contained in this Certificate of Formation (including any rights, preferences or other designations of Preferred Stock), in the manner now or hereafter prescribed by statute, and all rights conferred upon the shareholders herein are granted subject to this reservation.</w:t>
      </w:r>
    </w:p>
    <w:p>
      <w:pPr>
        <w:pStyle w:val="TextBody"/>
        <w:bidi w:val="0"/>
        <w:spacing w:before="0" w:after="120"/>
        <w:ind w:left="0" w:right="0" w:firstLine="720"/>
        <w:jc w:val="both"/>
        <w:rPr>
          <w:rFonts w:ascii="Times New Roman;Times;serif" w:hAnsi="Times New Roman;Times;serif"/>
          <w:sz w:val="24"/>
        </w:rPr>
      </w:pPr>
      <w:r>
        <w:rPr>
          <w:rFonts w:ascii="Times New Roman;Times;serif" w:hAnsi="Times New Roman;Times;serif"/>
          <w:sz w:val="24"/>
        </w:rPr>
        <w:t>The Board is expressly authorized and empowered to alter, amend or repeal the Bylaws or adopt new Bylaws.  Notwithstanding any provision of the Certificate of Formation, the Bylaws or any provision of law that might otherwise permit a lesser vote, the affirmative vote of a majority of the voting power of the outstanding capital stock of the Company entitled to vote thereon, voting together as a single class, shall be required for the shareholders of the Company to amend, alter, change or repeal any provision of the Bylaws.</w:t>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ARTICLE XI</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document becomes effective when the document is accepted and filed by the Secretary of State of the State of Texas.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undersigned affirms that the person designated as registered agent has consented to the appointment. The undersigned also affirms that, to the best knowledge of the undersigned, the name provided as the name of the filing entity does not falsely imply an affiliation with a governmental entity. The undersigned signs this document subject to the penalties imposed by law for the submission of a materially false or fraudulent instrument and certifies under penalty of perjury that the undersigned is authorized to execute the filing instrument.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IN WITNESS WHEREOF, the Company has caused this Certificate of Formation to be signed by its duly authorized officer as of this 25th</w:t>
      </w:r>
      <w:r>
        <w:rPr>
          <w:rFonts w:ascii="Times New Roman;Times;serif" w:hAnsi="Times New Roman;Times;serif"/>
          <w:sz w:val="20"/>
        </w:rPr>
        <w:t xml:space="preserve"> </w:t>
      </w:r>
      <w:r>
        <w:rPr>
          <w:rFonts w:ascii="Times New Roman;Times;serif" w:hAnsi="Times New Roman;Times;serif"/>
          <w:sz w:val="24"/>
        </w:rPr>
        <w:t>day of September, 2026.</w:t>
      </w:r>
    </w:p>
    <w:p>
      <w:pPr>
        <w:pStyle w:val="TextBody"/>
        <w:bidi w:val="0"/>
        <w:spacing w:before="0" w:after="0"/>
        <w:ind w:left="0" w:right="0" w:firstLine="720"/>
        <w:jc w:val="both"/>
        <w:rPr/>
      </w:pPr>
      <w:r>
        <w:rPr/>
        <w:t>​</w:t>
      </w:r>
    </w:p>
    <w:p>
      <w:pPr>
        <w:pStyle w:val="TextBody"/>
        <w:bidi w:val="0"/>
        <w:spacing w:before="0" w:after="0"/>
        <w:ind w:left="5040" w:right="0" w:hanging="0"/>
        <w:jc w:val="both"/>
        <w:rPr>
          <w:rFonts w:ascii="Times New Roman;Times;serif" w:hAnsi="Times New Roman;Times;serif"/>
          <w:sz w:val="20"/>
        </w:rPr>
      </w:pPr>
      <w:r>
        <w:rPr>
          <w:rFonts w:ascii="Times New Roman;Times;serif" w:hAnsi="Times New Roman;Times;serif"/>
          <w:sz w:val="24"/>
          <w:u w:val="single"/>
        </w:rPr>
        <w:t>By:</w:t>
      </w:r>
      <w:r>
        <w:rPr>
          <w:rFonts w:ascii="Times New Roman;Times;serif" w:hAnsi="Times New Roman;Times;serif"/>
          <w:sz w:val="20"/>
          <w:u w:val="single"/>
        </w:rPr>
        <w:t>​ ​</w:t>
      </w:r>
      <w:r>
        <w:rPr>
          <w:rFonts w:ascii="Times New Roman;Times;serif" w:hAnsi="Times New Roman;Times;serif"/>
          <w:sz w:val="24"/>
          <w:u w:val="single"/>
        </w:rPr>
        <w:t>/s/ Paul Hechenberger</w:t>
      </w:r>
    </w:p>
    <w:p>
      <w:pPr>
        <w:pStyle w:val="TextBody"/>
        <w:bidi w:val="0"/>
        <w:spacing w:before="0" w:after="0"/>
        <w:ind w:left="5040" w:right="0" w:hanging="0"/>
        <w:jc w:val="both"/>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Paul Hechenberger</w:t>
      </w:r>
    </w:p>
    <w:p>
      <w:pPr>
        <w:pStyle w:val="TextBody"/>
        <w:bidi w:val="0"/>
        <w:spacing w:before="0" w:after="120"/>
        <w:ind w:left="5040" w:right="0" w:hanging="0"/>
        <w:jc w:val="left"/>
        <w:rPr>
          <w:rFonts w:ascii="Times New Roman;Times;serif" w:hAnsi="Times New Roman;Times;serif"/>
          <w:sz w:val="24"/>
        </w:rPr>
      </w:pPr>
      <w:r>
        <w:rPr>
          <w:rFonts w:ascii="Times New Roman;Times;serif" w:hAnsi="Times New Roman;Times;serif"/>
          <w:sz w:val="24"/>
        </w:rPr>
        <w:t>Title:Senior Vice President, General Counsel and Corporate Secretary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8" w:name="asle-20260925xex3d2.htm"/>
      <w:bookmarkStart w:id="39" w:name="ksasle20260925xex3d2"/>
      <w:bookmarkEnd w:id="38"/>
      <w:bookmarkEnd w:id="39"/>
      <w:r>
        <w:rPr>
          <w:rFonts w:ascii="Times New Roman;Times;serif" w:hAnsi="Times New Roman;Times;serif"/>
          <w:b/>
          <w:sz w:val="20"/>
        </w:rPr>
        <w:t>Exhibit 3.2</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BYLAWS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AERSALE CORPORATION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OFFICES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Registered Office</w:t>
      </w:r>
      <w:r>
        <w:rPr>
          <w:rFonts w:ascii="Times New Roman;Times;serif" w:hAnsi="Times New Roman;Times;serif"/>
          <w:sz w:val="24"/>
        </w:rPr>
        <w:t>.  The registered office of AerSale Corporation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shall be the registered office named in the Certificate of Formation, subject to change upon such filings with the Secretary of State as may be required by law.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Other Offices</w:t>
      </w:r>
      <w:r>
        <w:rPr>
          <w:rFonts w:ascii="Times New Roman;Times;serif" w:hAnsi="Times New Roman;Times;serif"/>
          <w:sz w:val="24"/>
        </w:rPr>
        <w:t>.  The Company may also have offices at such other places, both within and without the State of Texas, as the Board of Directors of the Company (the “</w:t>
      </w:r>
      <w:r>
        <w:rPr>
          <w:rFonts w:ascii="Times New Roman;Times;serif" w:hAnsi="Times New Roman;Times;serif"/>
          <w:b/>
          <w:i/>
          <w:sz w:val="24"/>
        </w:rPr>
        <w:t>Board</w:t>
      </w:r>
      <w:r>
        <w:rPr>
          <w:rFonts w:ascii="Times New Roman;Times;serif" w:hAnsi="Times New Roman;Times;serif"/>
          <w:sz w:val="20"/>
        </w:rPr>
        <w:t>”</w:t>
      </w:r>
      <w:r>
        <w:rPr>
          <w:rFonts w:ascii="Times New Roman;Times;serif" w:hAnsi="Times New Roman;Times;serif"/>
          <w:sz w:val="24"/>
        </w:rPr>
        <w:t>) may from time to time determine.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II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MEETINGS OF SHAREHOLDERS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Place of Meetings</w:t>
      </w:r>
      <w:r>
        <w:rPr>
          <w:rFonts w:ascii="Times New Roman;Times;serif" w:hAnsi="Times New Roman;Times;serif"/>
          <w:sz w:val="24"/>
        </w:rPr>
        <w:t>.  Meetings of the shareholders for the election of directors or for any other purpose shall be held at such time and place, either within or without the State of Texas, as shall be designated from time to time by the Board.   The Board may, in its sole discretion, determine that a meeting of shareholders shall not be held at any place, but may instead be held solely by means of remote communication as authorized by the Texas Business Organizations Code (the “</w:t>
      </w:r>
      <w:r>
        <w:rPr>
          <w:rFonts w:ascii="Times New Roman;Times;serif" w:hAnsi="Times New Roman;Times;serif"/>
          <w:b/>
          <w:i/>
          <w:sz w:val="24"/>
        </w:rPr>
        <w:t>TBOC</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Annual Meetings</w:t>
      </w:r>
      <w:r>
        <w:rPr>
          <w:rFonts w:ascii="Times New Roman;Times;serif" w:hAnsi="Times New Roman;Times;serif"/>
          <w:sz w:val="24"/>
        </w:rPr>
        <w:t>.  Annual meetings of shareholders shall be held on such date and time as shall be designated from time to time by the Board and stated in the notice of the meeting, at which meeting the shareholders shall elect directors and transact such other business as may properly be brought before the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Special Meetings</w:t>
      </w:r>
      <w:r>
        <w:rPr>
          <w:rFonts w:ascii="Times New Roman;Times;serif" w:hAnsi="Times New Roman;Times;serif"/>
          <w:sz w:val="24"/>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Special meetings of the shareholders, for any purpose or purposes, unless otherwise prescribed by statute or by the Certificate of Formation of the Company (the “</w:t>
      </w:r>
      <w:r>
        <w:rPr>
          <w:rFonts w:ascii="Times New Roman;Times;serif" w:hAnsi="Times New Roman;Times;serif"/>
          <w:b/>
          <w:i/>
          <w:sz w:val="24"/>
        </w:rPr>
        <w:t>Certificate of Formation</w:t>
      </w:r>
      <w:r>
        <w:rPr>
          <w:rFonts w:ascii="Times New Roman;Times;serif" w:hAnsi="Times New Roman;Times;serif"/>
          <w:sz w:val="20"/>
        </w:rPr>
        <w:t>”</w:t>
      </w:r>
      <w:r>
        <w:rPr>
          <w:rFonts w:ascii="Times New Roman;Times;serif" w:hAnsi="Times New Roman;Times;serif"/>
          <w:sz w:val="24"/>
        </w:rPr>
        <w:t>), may be called by the Board, the Chairman of the Board, the Chief Executive Officer, the President, or shareholders holding at least 50% of the Company’s then outstanding shares of capital stock entitled to vote at such special meeting, such voting power to be calculated and determined in the manner specified, and with any limitations as may be set forth, in these Bylaws. Subject to the rights of the holders of any shares of preferred stock, special meetings of shareholders may not be called by any other person or persons. To the extent permitted under the TBOC, the Board may cancel, postpone or reschedule any previously scheduled special meeting at any time, before or after the notice for such meeting has been sent to the shareholders.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notice of a special meeting shall include the purpose for which the meeting is called. Only such business shall be conducted at a special meeting of shareholders as shall have been brought before the special meeting pursuant to the notice of a special meeting. Nothing contained in this Section 2.3(ii) shall be construed as limiting, fixing or affecting the time when a meeting of shareholders called by action of the Board may be held.</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2.4</w:t>
      </w:r>
      <w:r>
        <w:rPr>
          <w:rFonts w:ascii="Times New Roman;Times;serif" w:hAnsi="Times New Roman;Times;serif"/>
          <w:sz w:val="24"/>
          <w:u w:val="single"/>
        </w:rPr>
        <w:t>Advance Notice Procedures</w:t>
      </w:r>
      <w:r>
        <w:rPr>
          <w:rFonts w:ascii="Times New Roman;Times;serif" w:hAnsi="Times New Roman;Times;serif"/>
          <w:sz w:val="24"/>
        </w:rPr>
        <w:t>.</w:t>
      </w:r>
    </w:p>
    <w:tbl>
      <w:tblPr>
        <w:tblW w:w="3498" w:type="dxa"/>
        <w:jc w:val="left"/>
        <w:tblInd w:w="0" w:type="dxa"/>
        <w:tblLayout w:type="fixed"/>
        <w:tblCellMar>
          <w:top w:w="0" w:type="dxa"/>
          <w:left w:w="0" w:type="dxa"/>
          <w:bottom w:w="0" w:type="dxa"/>
          <w:right w:w="0" w:type="dxa"/>
        </w:tblCellMar>
      </w:tblPr>
      <w:tblGrid>
        <w:gridCol w:w="23"/>
        <w:gridCol w:w="23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w:t>
            </w:r>
          </w:p>
        </w:tc>
        <w:tc>
          <w:tcPr>
            <w:tcW w:w="3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i/>
                <w:sz w:val="24"/>
              </w:rPr>
              <w:t>Annual Meetings of Shareholders</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Nominations of persons for election to the Board or the proposal of other business to be transacted by the shareholders at an annual meeting of shareholders may be made only (1) pursuant to the Company’s notice of meeting (or any supplement thereto); (2) by or at the direction of the Board; or (3) as may be provided in the certificate of designations for any class or series of preferred stock; or (4) by any shareholder of the Company who (A) is a shareholder of record at the time of giving of the notice contemplated by </w:t>
            </w:r>
            <w:r>
              <w:rPr>
                <w:rFonts w:ascii="Times New Roman;Times;serif" w:hAnsi="Times New Roman;Times;serif"/>
                <w:sz w:val="24"/>
                <w:u w:val="single"/>
              </w:rPr>
              <w:t>Section 2.4(i)(b)</w:t>
            </w:r>
            <w:r>
              <w:rPr>
                <w:rFonts w:ascii="Times New Roman;Times;serif" w:hAnsi="Times New Roman;Times;serif"/>
                <w:sz w:val="24"/>
              </w:rPr>
              <w:t>; (B) is a shareholder of record on the record date for the determination of shareholders entitled to notice of the annual meeting; (C) is a shareholder of record on the record date for the determination of shareholders entitled to vote at the annual meeting (if such date is different from the record date for determining shareholders entitled to notice of the meeting); (D) is a shareholder of record at the time of the annual meeting; and (E) complies with the procedures set forth in this </w:t>
            </w:r>
            <w:r>
              <w:rPr>
                <w:rFonts w:ascii="Times New Roman;Times;serif" w:hAnsi="Times New Roman;Times;serif"/>
                <w:sz w:val="24"/>
                <w:u w:val="single"/>
              </w:rPr>
              <w:t>Section 2.4(i)</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rPr>
              <w:t>For nominations or other business to be properly brought before an annual meeting of shareholders by a shareholder pursuant to clause (4) of </w:t>
            </w:r>
            <w:r>
              <w:rPr>
                <w:rFonts w:ascii="Times New Roman;Times;serif" w:hAnsi="Times New Roman;Times;serif"/>
                <w:sz w:val="24"/>
                <w:u w:val="single"/>
              </w:rPr>
              <w:t>Section 2.4(i)(a)</w:t>
            </w:r>
            <w:r>
              <w:rPr>
                <w:rFonts w:ascii="Times New Roman;Times;serif" w:hAnsi="Times New Roman;Times;serif"/>
                <w:sz w:val="24"/>
              </w:rPr>
              <w:t>, the shareholder must have given timely notice in writing to the Secretary of the Company and any such nomination or proposed business must constitute a proper matter for shareholder action. To be timely, a shareholder’s notice must be received by the Secretary at the principal executive offices of the Company no earlier than 8:00 a.m., local time, on the one hundred twentieth (120th) day and no later than 5:00 p.m., local time, on the ninetieth (90th) day prior to the day of the first anniversary of the preceding year’s annual meeting of shareholders. However, if no annual meeting of shareholders was held in the preceding year, or if the date of the applicable annual meeting has been changed by more than thirty (30) days from the first anniversary of the preceding year’s annual meeting, then to be timely such notice must be received by the Secretary at the principal executive offices of the Company no earlier than 8:00 a.m., local time, on the one hundred twentieth (120th) day prior to the day of the annual meeting and no later than 5:00 p.m., local time, on the tenth (10th) day following the day on which Official Notice of the date of the annual meeting was first given by the Company. In no event will the adjournment, rescheduling or postponement of any annual meeting, or any announcement thereof, commence a new time period (or extend any time period) for the giving of a shareholder’s notice as described above. If the number of directors to be elected to the Board is increased and there is no Official Notice naming all of the nominees for director or specifying the size of the increased Board at least ten (10) days before the last day that a shareholder may deliver a notice of nomination pursuant to the foregoing provisions, then a shareholder’s notice required by this </w:t>
            </w:r>
            <w:r>
              <w:rPr>
                <w:rFonts w:ascii="Times New Roman;Times;serif" w:hAnsi="Times New Roman;Times;serif"/>
                <w:sz w:val="24"/>
                <w:u w:val="single"/>
              </w:rPr>
              <w:t>Section 2.4(i)(b)</w:t>
            </w:r>
            <w:r>
              <w:rPr>
                <w:rFonts w:ascii="Times New Roman;Times;serif" w:hAnsi="Times New Roman;Times;serif"/>
                <w:sz w:val="20"/>
              </w:rPr>
              <w:t> </w:t>
            </w:r>
            <w:r>
              <w:rPr>
                <w:rFonts w:ascii="Times New Roman;Times;serif" w:hAnsi="Times New Roman;Times;serif"/>
                <w:sz w:val="24"/>
              </w:rPr>
              <w:t>will also be considered timely, but only with respect to nominees for any new positions created by such increase, if it is received by the Secretary at the principal executive offices of the Company no later than 5:00 p.m., local time, on the tenth (10th) day following the day on which such Official Notice is first given. “</w:t>
            </w:r>
            <w:r>
              <w:rPr>
                <w:rFonts w:ascii="Times New Roman;Times;serif" w:hAnsi="Times New Roman;Times;serif"/>
                <w:b/>
                <w:i/>
                <w:sz w:val="24"/>
              </w:rPr>
              <w:t>Official Notice</w:t>
            </w:r>
            <w:r>
              <w:rPr>
                <w:rFonts w:ascii="Times New Roman;Times;serif" w:hAnsi="Times New Roman;Times;serif"/>
                <w:sz w:val="20"/>
              </w:rPr>
              <w:t>” </w:t>
            </w:r>
            <w:r>
              <w:rPr>
                <w:rFonts w:ascii="Times New Roman;Times;serif" w:hAnsi="Times New Roman;Times;serif"/>
                <w:sz w:val="24"/>
              </w:rPr>
              <w:t xml:space="preserve">means disclosure in a press release,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20"/>
        <w:ind w:left="1800" w:right="0" w:hanging="0"/>
        <w:jc w:val="both"/>
        <w:rPr>
          <w:rFonts w:ascii="Times New Roman;Times;serif" w:hAnsi="Times New Roman;Times;serif"/>
          <w:sz w:val="24"/>
        </w:rPr>
      </w:pPr>
      <w:r>
        <w:rPr>
          <w:rFonts w:ascii="Times New Roman;Times;serif" w:hAnsi="Times New Roman;Times;serif"/>
          <w:sz w:val="24"/>
        </w:rPr>
        <w:t>by notice in writing or electronic transmission disseminated by or at the direction of the Company to all shareholders entitled to notice of shareholder meetings, or in a document publicly filed by the Company with the U.S. Securities and Exchange Commission.</w:t>
      </w:r>
    </w:p>
    <w:tbl>
      <w:tblPr>
        <w:tblW w:w="5283" w:type="dxa"/>
        <w:jc w:val="left"/>
        <w:tblInd w:w="0" w:type="dxa"/>
        <w:tblLayout w:type="fixed"/>
        <w:tblCellMar>
          <w:top w:w="0" w:type="dxa"/>
          <w:left w:w="0" w:type="dxa"/>
          <w:bottom w:w="0" w:type="dxa"/>
          <w:right w:w="0" w:type="dxa"/>
        </w:tblCellMar>
      </w:tblPr>
      <w:tblGrid>
        <w:gridCol w:w="23"/>
        <w:gridCol w:w="185"/>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w:t>
            </w:r>
          </w:p>
        </w:tc>
        <w:tc>
          <w:tcPr>
            <w:tcW w:w="507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shareholder’s notice to the Secretary must set forth:</w:t>
            </w:r>
          </w:p>
        </w:tc>
      </w:tr>
    </w:tbl>
    <w:tbl>
      <w:tblPr>
        <w:tblW w:w="8418" w:type="dxa"/>
        <w:jc w:val="left"/>
        <w:tblInd w:w="0" w:type="dxa"/>
        <w:tblLayout w:type="fixed"/>
        <w:tblCellMar>
          <w:top w:w="0" w:type="dxa"/>
          <w:left w:w="0" w:type="dxa"/>
          <w:bottom w:w="0" w:type="dxa"/>
          <w:right w:w="0" w:type="dxa"/>
        </w:tblCellMar>
      </w:tblPr>
      <w:tblGrid>
        <w:gridCol w:w="23"/>
        <w:gridCol w:w="140"/>
        <w:gridCol w:w="82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w:t>
            </w:r>
          </w:p>
        </w:tc>
        <w:tc>
          <w:tcPr>
            <w:tcW w:w="82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as to each person whom the shareholder proposes to nominate for election as a director:</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w:t>
            </w:r>
          </w:p>
        </w:tc>
        <w:tc>
          <w:tcPr>
            <w:tcW w:w="1003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would be required to be disclosed in solicitations of proxies for the contested election of directors of publicly traded corporations (even if a contested election is not involved), or otherwise would be required, in each case pursuant to Regulation 14A under the Securities Exchange Act of 1934, as amended (the “</w:t>
            </w:r>
            <w:r>
              <w:rPr>
                <w:rFonts w:ascii="Times New Roman;Times;serif" w:hAnsi="Times New Roman;Times;serif"/>
                <w:b/>
                <w:i/>
                <w:sz w:val="24"/>
              </w:rPr>
              <w:t>1934 Act</w:t>
            </w:r>
            <w:r>
              <w:rPr>
                <w:rFonts w:ascii="Times New Roman;Times;serif" w:hAnsi="Times New Roman;Times;serif"/>
                <w:sz w:val="20"/>
              </w:rPr>
              <w:t>”</w:t>
            </w:r>
            <w:r>
              <w:rPr>
                <w:rFonts w:ascii="Times New Roman;Times;serif" w:hAnsi="Times New Roman;Times;serif"/>
                <w:sz w:val="24"/>
              </w:rPr>
              <w:t>), or applicable law;</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2.</w:t>
            </w:r>
          </w:p>
        </w:tc>
        <w:tc>
          <w:tcPr>
            <w:tcW w:w="10021"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such person’s written consent to being named in such shareholder’s proxy statement as a nominee of such shareholder, to being named in the Company’s form of proxy pursuant to Rule 14a-19 under the 1934 Act, and to serving as a director of the Company if elected;</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3.</w:t>
            </w:r>
          </w:p>
        </w:tc>
        <w:tc>
          <w:tcPr>
            <w:tcW w:w="1003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a reasonably detailed description of any direct or indirect compensatory, payment, indemnification or other financial agreement, arrangement or understanding that such person has, or has had within the past three (3) years, with any person or entity other than the Company (including the amount of any payment or payments received or receivable thereunder), in each case in connection with candidacy or service as a director of the Company (a “</w:t>
            </w:r>
            <w:r>
              <w:rPr>
                <w:rFonts w:ascii="Times New Roman;Times;serif" w:hAnsi="Times New Roman;Times;serif"/>
                <w:b/>
                <w:i/>
                <w:sz w:val="24"/>
              </w:rPr>
              <w:t>Third-Party Compensation Arrangement</w:t>
            </w:r>
            <w:r>
              <w:rPr>
                <w:rFonts w:ascii="Times New Roman;Times;serif" w:hAnsi="Times New Roman;Times;serif"/>
                <w:sz w:val="20"/>
              </w:rPr>
              <w:t>”</w:t>
            </w:r>
            <w:r>
              <w:rPr>
                <w:rFonts w:ascii="Times New Roman;Times;serif" w:hAnsi="Times New Roman;Times;serif"/>
                <w:sz w:val="24"/>
              </w:rPr>
              <w:t>); and</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4.</w:t>
            </w:r>
          </w:p>
        </w:tc>
        <w:tc>
          <w:tcPr>
            <w:tcW w:w="10028"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description of any other material relationships between such person and such person’s respective affiliates and associates, or others acting in concert with them, on the one hand, and such shareholder giving the notice and the beneficial owner, if any, on whose behalf the nomination is made, and their respective affiliates and associates, or others acting in concert with them, on the other hand;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8643" w:type="dxa"/>
        <w:jc w:val="left"/>
        <w:tblInd w:w="0" w:type="dxa"/>
        <w:tblLayout w:type="fixed"/>
        <w:tblCellMar>
          <w:top w:w="0" w:type="dxa"/>
          <w:left w:w="0" w:type="dxa"/>
          <w:bottom w:w="0" w:type="dxa"/>
          <w:right w:w="0" w:type="dxa"/>
        </w:tblCellMar>
      </w:tblPr>
      <w:tblGrid>
        <w:gridCol w:w="23"/>
        <w:gridCol w:w="20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w:t>
            </w:r>
          </w:p>
        </w:tc>
        <w:tc>
          <w:tcPr>
            <w:tcW w:w="842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as to any other business that the shareholder proposes to bring before the annual meeting:</w:t>
            </w:r>
          </w:p>
        </w:tc>
      </w:tr>
    </w:tbl>
    <w:tbl>
      <w:tblPr>
        <w:tblW w:w="8013" w:type="dxa"/>
        <w:jc w:val="left"/>
        <w:tblInd w:w="0" w:type="dxa"/>
        <w:tblLayout w:type="fixed"/>
        <w:tblCellMar>
          <w:top w:w="0" w:type="dxa"/>
          <w:left w:w="0" w:type="dxa"/>
          <w:bottom w:w="0" w:type="dxa"/>
          <w:right w:w="0" w:type="dxa"/>
        </w:tblCellMar>
      </w:tblPr>
      <w:tblGrid>
        <w:gridCol w:w="23"/>
        <w:gridCol w:w="20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w:t>
            </w:r>
          </w:p>
        </w:tc>
        <w:tc>
          <w:tcPr>
            <w:tcW w:w="779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brief description of the business desired to be brought before the annual meeting;</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2.</w:t>
            </w:r>
          </w:p>
        </w:tc>
        <w:tc>
          <w:tcPr>
            <w:tcW w:w="10013"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text of the proposal or business (including the text of any resolutions proposed for consideration and, if applicable, the text of any proposed amendment to these Bylaws or the Certificate of Formation);</w:t>
            </w:r>
          </w:p>
        </w:tc>
      </w:tr>
    </w:tbl>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3.</w:t>
            </w:r>
          </w:p>
        </w:tc>
        <w:tc>
          <w:tcPr>
            <w:tcW w:w="599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reasons for conducting such business at the annual meeting;</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4.</w:t>
            </w:r>
          </w:p>
        </w:tc>
        <w:tc>
          <w:tcPr>
            <w:tcW w:w="1001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material interest in such business of such shareholder giving the notice and the beneficial owner, if any, on whose behalf the proposal is made, and their respective affiliates and associates, or others acting in concert with them;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5.</w:t>
            </w:r>
          </w:p>
        </w:tc>
        <w:tc>
          <w:tcPr>
            <w:tcW w:w="1002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description of all agreements, arrangements and understandings between such shareholder and the beneficial owner, if any, on whose behalf the proposal is made, and their respective affiliates or associates or others acting in concert with them, and any other person or persons (including their names) in connection with the proposal of such business by such shareholder; and</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as to the shareholder giving the notice and the beneficial owner, if any, on whose behalf the nomination or proposal is made:</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w:t>
            </w:r>
          </w:p>
        </w:tc>
        <w:tc>
          <w:tcPr>
            <w:tcW w:w="10011"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name and address of such shareholder (as they appear on the Company’s books), of such beneficial owner and of their respective affiliates or associates or others acting in concert with them;</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2.</w:t>
            </w:r>
          </w:p>
        </w:tc>
        <w:tc>
          <w:tcPr>
            <w:tcW w:w="1002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for each class or series, the number of shares of stock of the Company that are, directly or indirectly, held of record or are beneficially owned by such shareholder, such beneficial owner or their respective affiliates or associates or others acting in concert with them;</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3.</w:t>
            </w:r>
          </w:p>
        </w:tc>
        <w:tc>
          <w:tcPr>
            <w:tcW w:w="1002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description of any agreement, arrangement or understanding between such shareholder, such beneficial owner or their respective affiliates or associates or others acting in concert with them, and any other person or persons (including, in each case, their names) in connection with the proposal of such nomination or other business;</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4.</w:t>
            </w:r>
          </w:p>
        </w:tc>
        <w:tc>
          <w:tcPr>
            <w:tcW w:w="1003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shareholder, such beneficial owner or their respective affiliates or associates or others acting in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120"/>
        <w:ind w:left="3240" w:right="0" w:hanging="0"/>
        <w:jc w:val="both"/>
        <w:rPr>
          <w:rFonts w:ascii="Times New Roman;Times;serif" w:hAnsi="Times New Roman;Times;serif"/>
          <w:sz w:val="20"/>
        </w:rPr>
      </w:pPr>
      <w:r>
        <w:rPr>
          <w:rFonts w:ascii="Times New Roman;Times;serif" w:hAnsi="Times New Roman;Times;serif"/>
          <w:sz w:val="24"/>
        </w:rPr>
        <w:t>concert with them, with respect to the Company’s securities (any of the foregoing, a “</w:t>
      </w:r>
      <w:r>
        <w:rPr>
          <w:rFonts w:ascii="Times New Roman;Times;serif" w:hAnsi="Times New Roman;Times;serif"/>
          <w:b/>
          <w:i/>
          <w:sz w:val="24"/>
        </w:rPr>
        <w:t>Derivative Instrument</w:t>
      </w:r>
      <w:r>
        <w:rPr>
          <w:rFonts w:ascii="Times New Roman;Times;serif" w:hAnsi="Times New Roman;Times;serif"/>
          <w:sz w:val="20"/>
        </w:rPr>
        <w:t>”</w:t>
      </w:r>
      <w:r>
        <w:rPr>
          <w:rFonts w:ascii="Times New Roman;Times;serif" w:hAnsi="Times New Roman;Times;serif"/>
          <w:sz w:val="24"/>
        </w:rPr>
        <w:t>), or any other agreement, arrangement or understanding that has been made the effect or intent of which is to create or mitigate loss to, manage risk or benefit of share price changes for or increase or decrease the voting power of such shareholder, such beneficial owner or their respective affiliates or associates or others acting in concert with them, with respect to the Company’s securities;</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5.</w:t>
            </w:r>
          </w:p>
        </w:tc>
        <w:tc>
          <w:tcPr>
            <w:tcW w:w="10019"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rights to dividends on the Company’s securities owned beneficially by such shareholder, such beneficial owner or their respective affiliates or associates or others acting in concert with them, that are separated or separable from the underlying security;</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6.</w:t>
            </w:r>
          </w:p>
        </w:tc>
        <w:tc>
          <w:tcPr>
            <w:tcW w:w="10028"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proportionate interest in the Company’s securities or Derivative Instruments held, directly or indirectly, by a general or limited partnership in which such shareholder, such beneficial owner or their respective affiliates or associates or others acting in concert with them, is a general partner or, directly or indirectly, beneficially owns an interest in a general partner of such general or limited partnership;</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7.</w:t>
            </w:r>
          </w:p>
        </w:tc>
        <w:tc>
          <w:tcPr>
            <w:tcW w:w="1003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performance-related fees (other than an asset-based fee) that such shareholder,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tc>
      </w:tr>
    </w:tbl>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8.</w:t>
            </w:r>
          </w:p>
        </w:tc>
        <w:tc>
          <w:tcPr>
            <w:tcW w:w="10018"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significant equity interests or any Derivative Instruments in any principal competitor of the Company that are held by such shareholder, such beneficial owner or their respective affiliates or associates or others acting in concert with them;</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9.</w:t>
            </w:r>
          </w:p>
        </w:tc>
        <w:tc>
          <w:tcPr>
            <w:tcW w:w="1002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direct or indirect interest of such shareholder,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tc>
      </w:tr>
    </w:tbl>
    <w:tbl>
      <w:tblPr>
        <w:tblW w:w="10205" w:type="dxa"/>
        <w:jc w:val="left"/>
        <w:tblInd w:w="0" w:type="dxa"/>
        <w:tblLayout w:type="fixed"/>
        <w:tblCellMar>
          <w:top w:w="0" w:type="dxa"/>
          <w:left w:w="0" w:type="dxa"/>
          <w:bottom w:w="0" w:type="dxa"/>
          <w:right w:w="0" w:type="dxa"/>
        </w:tblCellMar>
      </w:tblPr>
      <w:tblGrid>
        <w:gridCol w:w="23"/>
        <w:gridCol w:w="280"/>
        <w:gridCol w:w="9902"/>
      </w:tblGrid>
      <w:tr>
        <w:trPr/>
        <w:tc>
          <w:tcPr>
            <w:tcW w:w="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10.</w:t>
            </w:r>
          </w:p>
        </w:tc>
        <w:tc>
          <w:tcPr>
            <w:tcW w:w="990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representation and undertaking that the shareholder is a holder of record of stock of the Company as of the date of submission of the shareholder’s notice and intends to appear in person or by proxy at the meeting to bring such nomination or other business before the meeting;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11.</w:t>
            </w:r>
          </w:p>
        </w:tc>
        <w:tc>
          <w:tcPr>
            <w:tcW w:w="99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representation and undertaking that such shareholder or any such beneficial owner intends, or is part of a group that intends, to (x) deliver a proxy statement or other proxy solicitation material or form of proxy to holders of at least the percentage of the voting power of the Company’s then-outstanding stock required to approve or adopt the proposal or to elect each such nominee, which representation and undertaking must include a statement as to whether such shareholder or any such beneficial owner intends to solicit the requisite percentage of the voting power of the Company’s stock under Rule 14a-19 under the 1934 Act; or (y) otherwise solicit proxies from shareholders in support of such proposal or nomination;</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12.</w:t>
            </w:r>
          </w:p>
        </w:tc>
        <w:tc>
          <w:tcPr>
            <w:tcW w:w="991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any other information relating to such shareholder, such beneficial owner, or their respective affiliates or associates or others acting in concert with them, or director nominee or proposed business that, in each case, would be required to be disclosed in a proxy statement or other filing that would be required to be made in connection with the solicitation of proxies in support of such nominee (in a contested election of directors) or proposal pursuant to Section 14 of the 1934 Act if the Company were publicly traded; and</w:t>
            </w:r>
          </w:p>
        </w:tc>
      </w:tr>
    </w:tbl>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13.</w:t>
            </w:r>
          </w:p>
        </w:tc>
        <w:tc>
          <w:tcPr>
            <w:tcW w:w="9893"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such other information relating to any proposed item of business as the Company may reasonably require to determine whether such proposed item of business is a proper matter for shareholder action.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rPr>
              <w:t>In addition to the requirements of this </w:t>
            </w:r>
            <w:r>
              <w:rPr>
                <w:rFonts w:ascii="Times New Roman;Times;serif" w:hAnsi="Times New Roman;Times;serif"/>
                <w:sz w:val="24"/>
                <w:u w:val="single"/>
              </w:rPr>
              <w:t>Section 2.4</w:t>
            </w:r>
            <w:r>
              <w:rPr>
                <w:rFonts w:ascii="Times New Roman;Times;serif" w:hAnsi="Times New Roman;Times;serif"/>
                <w:sz w:val="24"/>
              </w:rPr>
              <w:t xml:space="preserve">, to be timely, a shareholder’s notice (and any additional information submitted to the Company in connection therewith) must further be updated and supplemented, if necessary, (1) so that the information provided or required to be provided in such notice is true and correct as of the record date(s) for determining the shareholders entitled to notice of, and to vote at, the meeting and as of the date that is ten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 update or supplement of any information, not later than five (5) business days after the record date(s) for the meeting (in the case of any update and supplement required to be made as of the record date(s)), and not later than eight (8) business days prior to the date for the meeting or any adjournment, rescheduling or postponement thereof (in the case of the update and supplement required to be made as of eight (10) business days prior to the meeting or any adjournment, rescheduling or postponement thereof). The failure to timely provide such update, supplement or additional information shall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120"/>
        <w:ind w:left="1800" w:right="0" w:hanging="0"/>
        <w:jc w:val="both"/>
        <w:rPr>
          <w:rFonts w:ascii="Times New Roman;Times;serif" w:hAnsi="Times New Roman;Times;serif"/>
          <w:sz w:val="24"/>
        </w:rPr>
      </w:pPr>
      <w:r>
        <w:rPr>
          <w:rFonts w:ascii="Times New Roman;Times;serif" w:hAnsi="Times New Roman;Times;serif"/>
          <w:sz w:val="24"/>
        </w:rPr>
        <w:t>result in the nomination or proposal no longer being eligible for consideration at the meeting.</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w:t>
            </w:r>
          </w:p>
        </w:tc>
        <w:tc>
          <w:tcPr>
            <w:tcW w:w="996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i/>
                <w:sz w:val="24"/>
              </w:rPr>
              <w:t>Special Meetings of Shareholders</w:t>
            </w:r>
            <w:r>
              <w:rPr>
                <w:rFonts w:ascii="Times New Roman;Times;serif" w:hAnsi="Times New Roman;Times;serif"/>
                <w:sz w:val="24"/>
              </w:rPr>
              <w:t>.  Except to the extent required by the TBOC, and subject to </w:t>
            </w:r>
            <w:r>
              <w:rPr>
                <w:rFonts w:ascii="Times New Roman;Times;serif" w:hAnsi="Times New Roman;Times;serif"/>
                <w:sz w:val="24"/>
                <w:u w:val="single"/>
              </w:rPr>
              <w:t>Section 2.3</w:t>
            </w:r>
            <w:r>
              <w:rPr>
                <w:rFonts w:ascii="Times New Roman;Times;serif" w:hAnsi="Times New Roman;Times;serif"/>
                <w:sz w:val="24"/>
              </w:rPr>
              <w:t>, special meetings of shareholders may be called only in accordance with the Certificate of Formation and these Bylaws. Only such business will be conducted at a special meeting of shareholders as has been brought before the special meeting pursuant to the Company’s notice of meeting. If the election of directors is included as business to be brought before a special meeting in the Company’s notice of meeting, then nominations of persons for election to the Board at such special meeting may be made by any shareholder who (i) is a shareholder of record at the time of giving of the notice contemplated by this </w:t>
            </w:r>
            <w:r>
              <w:rPr>
                <w:rFonts w:ascii="Times New Roman;Times;serif" w:hAnsi="Times New Roman;Times;serif"/>
                <w:sz w:val="24"/>
                <w:u w:val="single"/>
              </w:rPr>
              <w:t>Section 2.4(ii)</w:t>
            </w:r>
            <w:r>
              <w:rPr>
                <w:rFonts w:ascii="Times New Roman;Times;serif" w:hAnsi="Times New Roman;Times;serif"/>
                <w:sz w:val="24"/>
              </w:rPr>
              <w:t>; (ii) is a shareholder of record on the record date for the determination of shareholders entitled to notice of the special meeting; (iii) is a shareholder of record on the record date for the determination of shareholders entitled to vote at the special meeting; (iv) is a shareholder of record at the time of the special meeting; and (v) complies with the procedures set forth in this </w:t>
            </w:r>
            <w:r>
              <w:rPr>
                <w:rFonts w:ascii="Times New Roman;Times;serif" w:hAnsi="Times New Roman;Times;serif"/>
                <w:sz w:val="24"/>
                <w:u w:val="single"/>
              </w:rPr>
              <w:t>Section 2.4(ii)</w:t>
            </w:r>
            <w:r>
              <w:rPr>
                <w:rFonts w:ascii="Times New Roman;Times;serif" w:hAnsi="Times New Roman;Times;serif"/>
                <w:sz w:val="24"/>
              </w:rPr>
              <w:t>. For nominations to be properly brought by a shareholder before a special meeting pursuant to this </w:t>
            </w:r>
            <w:r>
              <w:rPr>
                <w:rFonts w:ascii="Times New Roman;Times;serif" w:hAnsi="Times New Roman;Times;serif"/>
                <w:sz w:val="24"/>
                <w:u w:val="single"/>
              </w:rPr>
              <w:t>Section 2.4(ii)</w:t>
            </w:r>
            <w:r>
              <w:rPr>
                <w:rFonts w:ascii="Times New Roman;Times;serif" w:hAnsi="Times New Roman;Times;serif"/>
                <w:sz w:val="24"/>
              </w:rPr>
              <w:t>, the shareholder’s notice must be received by the Secretary at the principal executive offices of the Company no earlier than 8:00 a.m., local time, on the one hundred twentieth (120th) day prior to the day of the special meeting and no later than 5:00 p.m., local time, on the later of the ninetieth (90th) day prior to such special meeting and the tenth (10th) day following the day on which Official Notice of the date of the special meeting was first given. In no event will any adjournment, rescheduling or postponement of a special meeting or the announcement thereof commence a new time period (or extend any time period) for the giving of a shareholder’s notice. A shareholder’s notice to the Secretary must comply with the applicable notice requirements of </w:t>
            </w:r>
            <w:r>
              <w:rPr>
                <w:rFonts w:ascii="Times New Roman;Times;serif" w:hAnsi="Times New Roman;Times;serif"/>
                <w:sz w:val="24"/>
                <w:u w:val="single"/>
              </w:rPr>
              <w:t>Section 2.4(a)(iii)</w:t>
            </w:r>
            <w:r>
              <w:rPr>
                <w:rFonts w:ascii="Times New Roman;Times;serif" w:hAnsi="Times New Roman;Times;serif"/>
                <w:sz w:val="24"/>
              </w:rPr>
              <w:t>.</w:t>
            </w:r>
          </w:p>
        </w:tc>
      </w:tr>
    </w:tbl>
    <w:tbl>
      <w:tblPr>
        <w:tblW w:w="2373" w:type="dxa"/>
        <w:jc w:val="left"/>
        <w:tblInd w:w="0" w:type="dxa"/>
        <w:tblLayout w:type="fixed"/>
        <w:tblCellMar>
          <w:top w:w="0" w:type="dxa"/>
          <w:left w:w="0" w:type="dxa"/>
          <w:bottom w:w="0" w:type="dxa"/>
          <w:right w:w="0" w:type="dxa"/>
        </w:tblCellMar>
      </w:tblPr>
      <w:tblGrid>
        <w:gridCol w:w="23"/>
        <w:gridCol w:w="35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(iii)</w:t>
            </w:r>
          </w:p>
        </w:tc>
        <w:tc>
          <w:tcPr>
            <w:tcW w:w="20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i/>
                <w:sz w:val="24"/>
              </w:rPr>
              <w:t>Other Requirements</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To be eligible to be a nominee by any shareholder for election as a director of the Company at a meeting of shareholders, the proposed nominee must provide to the Secretary, in accordance with the applicable time periods prescribed for delivery of notice under </w:t>
            </w:r>
            <w:r>
              <w:rPr>
                <w:rFonts w:ascii="Times New Roman;Times;serif" w:hAnsi="Times New Roman;Times;serif"/>
                <w:sz w:val="24"/>
                <w:u w:val="single"/>
              </w:rPr>
              <w:t>Section 2.4(i)(b)</w:t>
            </w:r>
            <w:r>
              <w:rPr>
                <w:rFonts w:ascii="Times New Roman;Times;serif" w:hAnsi="Times New Roman;Times;serif"/>
                <w:sz w:val="20"/>
              </w:rPr>
              <w:t> </w:t>
            </w:r>
            <w:r>
              <w:rPr>
                <w:rFonts w:ascii="Times New Roman;Times;serif" w:hAnsi="Times New Roman;Times;serif"/>
                <w:sz w:val="24"/>
              </w:rPr>
              <w:t>or </w:t>
            </w:r>
            <w:r>
              <w:rPr>
                <w:rFonts w:ascii="Times New Roman;Times;serif" w:hAnsi="Times New Roman;Times;serif"/>
                <w:sz w:val="24"/>
                <w:u w:val="single"/>
              </w:rPr>
              <w:t>Section 2.4(i)</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 signed and completed written questionnaire (in the form provided by the Secretary at the written request of the nominating shareholder, which form will be provided by the Secretary within ten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tc>
      </w:tr>
    </w:tbl>
    <w:p>
      <w:pPr>
        <w:pStyle w:val="TextBody"/>
        <w:pBdr/>
        <w:bidi w:val="0"/>
        <w:spacing w:before="0" w:after="0"/>
        <w:ind w:left="2340" w:right="0" w:hanging="180"/>
        <w:jc w:val="both"/>
        <w:rPr>
          <w:rFonts w:ascii="Times New Roman;Times;serif" w:hAnsi="Times New Roman;Times;serif"/>
          <w:sz w:val="24"/>
        </w:rPr>
      </w:pPr>
      <w:r>
        <w:rPr>
          <w:rFonts w:ascii="Times New Roman;Times;serif" w:hAnsi="Times New Roman;Times;serif"/>
          <w:sz w:val="24"/>
        </w:rPr>
        <w:t xml:space="preserve">ii.a written representation and undertaking that, unless previously disclosed to the Company, such nominee is not, and will not become, a party to any voting agreement, arrangement, commitment, assurance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20"/>
        <w:ind w:left="2520" w:right="0" w:hanging="0"/>
        <w:jc w:val="both"/>
        <w:rPr>
          <w:rFonts w:ascii="Times New Roman;Times;serif" w:hAnsi="Times New Roman;Times;serif"/>
          <w:sz w:val="24"/>
        </w:rPr>
      </w:pPr>
      <w:r>
        <w:rPr>
          <w:rFonts w:ascii="Times New Roman;Times;serif" w:hAnsi="Times New Roman;Times;serif"/>
          <w:sz w:val="24"/>
        </w:rPr>
        <w:t>understanding with any person or entity as to how such nominee, if elected as a director, will vote on any issue;</w:t>
      </w:r>
    </w:p>
    <w:p>
      <w:pPr>
        <w:pStyle w:val="TextBody"/>
        <w:pBdr/>
        <w:bidi w:val="0"/>
        <w:spacing w:before="0" w:after="120"/>
        <w:ind w:left="2340" w:right="0" w:hanging="180"/>
        <w:jc w:val="both"/>
        <w:rPr>
          <w:rFonts w:ascii="Times New Roman;Times;serif" w:hAnsi="Times New Roman;Times;serif"/>
          <w:sz w:val="24"/>
        </w:rPr>
      </w:pPr>
      <w:r>
        <w:rPr>
          <w:rFonts w:ascii="Times New Roman;Times;serif" w:hAnsi="Times New Roman;Times;serif"/>
          <w:sz w:val="24"/>
        </w:rPr>
        <w:t>iii.a written representation and undertaking that, unless previously disclosed to the Company, such nominee is not, and will not become, a party to any Third-Party Compensation Arrangement;</w:t>
      </w:r>
    </w:p>
    <w:p>
      <w:pPr>
        <w:pStyle w:val="TextBody"/>
        <w:pBdr/>
        <w:bidi w:val="0"/>
        <w:spacing w:before="0" w:after="120"/>
        <w:ind w:left="2340" w:right="0" w:hanging="180"/>
        <w:jc w:val="both"/>
        <w:rPr>
          <w:rFonts w:ascii="Times New Roman;Times;serif" w:hAnsi="Times New Roman;Times;serif"/>
          <w:sz w:val="24"/>
        </w:rPr>
      </w:pPr>
      <w:r>
        <w:rPr>
          <w:rFonts w:ascii="Times New Roman;Times;serif" w:hAnsi="Times New Roman;Times;serif"/>
          <w:sz w:val="24"/>
        </w:rPr>
        <w:t>iv.a written representation and undertaking that, if elected as a director, such nominee would be in compliance, and will continue to comply, with the Company’s corporate governance guidelines as disclosed on the Company’s website, as amended from time to time; and</w:t>
      </w:r>
    </w:p>
    <w:p>
      <w:pPr>
        <w:pStyle w:val="TextBody"/>
        <w:pBdr/>
        <w:bidi w:val="0"/>
        <w:spacing w:before="0" w:after="120"/>
        <w:ind w:left="2340" w:right="0" w:hanging="180"/>
        <w:jc w:val="both"/>
        <w:rPr>
          <w:rFonts w:ascii="Times New Roman;Times;serif" w:hAnsi="Times New Roman;Times;serif"/>
          <w:sz w:val="24"/>
        </w:rPr>
      </w:pPr>
      <w:r>
        <w:rPr>
          <w:rFonts w:ascii="Times New Roman;Times;serif" w:hAnsi="Times New Roman;Times;serif"/>
          <w:sz w:val="24"/>
        </w:rPr>
        <w:t>v.a written representation and undertaking that such nominee, if elected, intends to serve a full term on the Board.</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At the request of the Board, any person nominated by the Board for election as a director must furnish to the Secretary the information that is required to be set forth in a shareholder’s notice of nomination that pertains to such nominee.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w:t>
            </w:r>
          </w:p>
        </w:tc>
        <w:tc>
          <w:tcPr>
            <w:tcW w:w="999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No person will be eligible to be nominated by a shareholder for election as a director of the Company unless nominated in accordance with the procedures set forth in this </w:t>
            </w:r>
            <w:r>
              <w:rPr>
                <w:rFonts w:ascii="Times New Roman;Times;serif" w:hAnsi="Times New Roman;Times;serif"/>
                <w:sz w:val="24"/>
                <w:u w:val="single"/>
              </w:rPr>
              <w:t>Section 2.4</w:t>
            </w:r>
            <w:r>
              <w:rPr>
                <w:rFonts w:ascii="Times New Roman;Times;serif" w:hAnsi="Times New Roman;Times;serif"/>
                <w:sz w:val="24"/>
              </w:rPr>
              <w:t>. No business proposed by a shareholder will be conducted at a shareholder meeting except in accordance with this </w:t>
            </w:r>
            <w:r>
              <w:rPr>
                <w:rFonts w:ascii="Times New Roman;Times;serif" w:hAnsi="Times New Roman;Times;serif"/>
                <w:sz w:val="24"/>
                <w:u w:val="single"/>
              </w:rPr>
              <w:t>Section 2.4</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d.</w:t>
            </w:r>
          </w:p>
        </w:tc>
        <w:tc>
          <w:tcPr>
            <w:tcW w:w="9982"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chairperson of the applicable meeting of shareholders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rPr>
              <w:t>Notwithstanding anything to the contrary in this </w:t>
            </w:r>
            <w:r>
              <w:rPr>
                <w:rFonts w:ascii="Times New Roman;Times;serif" w:hAnsi="Times New Roman;Times;serif"/>
                <w:sz w:val="24"/>
                <w:u w:val="single"/>
              </w:rPr>
              <w:t>Section 2.4</w:t>
            </w:r>
            <w:r>
              <w:rPr>
                <w:rFonts w:ascii="Times New Roman;Times;serif" w:hAnsi="Times New Roman;Times;serif"/>
                <w:sz w:val="24"/>
              </w:rPr>
              <w:t>, unless otherwise required by law, if the shareholder (or a qualified representative of the shareholder)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w:t>
            </w:r>
            <w:r>
              <w:rPr>
                <w:rFonts w:ascii="Times New Roman;Times;serif" w:hAnsi="Times New Roman;Times;serif"/>
                <w:sz w:val="24"/>
                <w:u w:val="single"/>
              </w:rPr>
              <w:t>Section 2.4</w:t>
            </w:r>
            <w:r>
              <w:rPr>
                <w:rFonts w:ascii="Times New Roman;Times;serif" w:hAnsi="Times New Roman;Times;serif"/>
                <w:sz w:val="24"/>
              </w:rPr>
              <w:t xml:space="preserve">, (1)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and such person must produce such writing or electronic transmission, or a reliable reproduction of the writing or electronic transmission, at the meeting and (2) “principal executive offices” shall mean the address for the Company’s principal executive offices as set forth on the cover page of its most recent Annual Report on Form 10-K filed with the U.S. Securities and Exchange Commission, as such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20"/>
        <w:ind w:left="1800" w:right="0" w:hanging="0"/>
        <w:jc w:val="both"/>
        <w:rPr>
          <w:rFonts w:ascii="Times New Roman;Times;serif" w:hAnsi="Times New Roman;Times;serif"/>
          <w:sz w:val="24"/>
        </w:rPr>
      </w:pPr>
      <w:r>
        <w:rPr>
          <w:rFonts w:ascii="Times New Roman;Times;serif" w:hAnsi="Times New Roman;Times;serif"/>
          <w:sz w:val="24"/>
        </w:rPr>
        <w:t>address may be updated by any subsequent report filed with the U.S. Securities and Exchange Commission or other public announcement by the Company.</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w:t>
            </w:r>
          </w:p>
        </w:tc>
        <w:tc>
          <w:tcPr>
            <w:tcW w:w="1002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Without limiting this </w:t>
            </w:r>
            <w:r>
              <w:rPr>
                <w:rFonts w:ascii="Times New Roman;Times;serif" w:hAnsi="Times New Roman;Times;serif"/>
                <w:sz w:val="24"/>
                <w:u w:val="single"/>
              </w:rPr>
              <w:t>Section 2.4</w:t>
            </w:r>
            <w:r>
              <w:rPr>
                <w:rFonts w:ascii="Times New Roman;Times;serif" w:hAnsi="Times New Roman;Times;serif"/>
                <w:sz w:val="24"/>
              </w:rPr>
              <w:t>, a shareholder must also comply with all applicable requirements of the 1934 Act with respect to the matters set forth in this </w:t>
            </w:r>
            <w:r>
              <w:rPr>
                <w:rFonts w:ascii="Times New Roman;Times;serif" w:hAnsi="Times New Roman;Times;serif"/>
                <w:sz w:val="24"/>
                <w:u w:val="single"/>
              </w:rPr>
              <w:t>Section 2.4</w:t>
            </w:r>
            <w:r>
              <w:rPr>
                <w:rFonts w:ascii="Times New Roman;Times;serif" w:hAnsi="Times New Roman;Times;serif"/>
                <w:sz w:val="24"/>
              </w:rPr>
              <w:t>, it being understood that (1) any references in these Bylaws to the 1934 Act are not intended to, and will not, limit any requirements applicable to nominations or proposals as to any other business to be considered pursuant to this </w:t>
            </w:r>
            <w:r>
              <w:rPr>
                <w:rFonts w:ascii="Times New Roman;Times;serif" w:hAnsi="Times New Roman;Times;serif"/>
                <w:sz w:val="24"/>
                <w:u w:val="single"/>
              </w:rPr>
              <w:t>Section 2.4</w:t>
            </w:r>
            <w:r>
              <w:rPr>
                <w:rFonts w:ascii="Times New Roman;Times;serif" w:hAnsi="Times New Roman;Times;serif"/>
                <w:sz w:val="24"/>
              </w:rPr>
              <w:t>; and (2) compliance with clause (4) of </w:t>
            </w:r>
            <w:r>
              <w:rPr>
                <w:rFonts w:ascii="Times New Roman;Times;serif" w:hAnsi="Times New Roman;Times;serif"/>
                <w:sz w:val="24"/>
                <w:u w:val="single"/>
              </w:rPr>
              <w:t>Section 2.4(i)(a)</w:t>
            </w:r>
            <w:r>
              <w:rPr>
                <w:rFonts w:ascii="Times New Roman;Times;serif" w:hAnsi="Times New Roman;Times;serif"/>
                <w:sz w:val="20"/>
              </w:rPr>
              <w:t> </w:t>
            </w:r>
            <w:r>
              <w:rPr>
                <w:rFonts w:ascii="Times New Roman;Times;serif" w:hAnsi="Times New Roman;Times;serif"/>
                <w:sz w:val="24"/>
              </w:rPr>
              <w:t>and with </w:t>
            </w:r>
            <w:r>
              <w:rPr>
                <w:rFonts w:ascii="Times New Roman;Times;serif" w:hAnsi="Times New Roman;Times;serif"/>
                <w:sz w:val="24"/>
                <w:u w:val="single"/>
              </w:rPr>
              <w:t>Section 2.4(ii)</w:t>
            </w:r>
            <w:r>
              <w:rPr>
                <w:rFonts w:ascii="Times New Roman;Times;serif" w:hAnsi="Times New Roman;Times;serif"/>
                <w:sz w:val="20"/>
              </w:rPr>
              <w:t> </w:t>
            </w:r>
            <w:r>
              <w:rPr>
                <w:rFonts w:ascii="Times New Roman;Times;serif" w:hAnsi="Times New Roman;Times;serif"/>
                <w:sz w:val="24"/>
              </w:rPr>
              <w:t>are the exclusive means for a shareholder to make nominations or submit other business (other than as provided in </w:t>
            </w:r>
            <w:r>
              <w:rPr>
                <w:rFonts w:ascii="Times New Roman;Times;serif" w:hAnsi="Times New Roman;Times;serif"/>
                <w:sz w:val="24"/>
                <w:u w:val="single"/>
              </w:rPr>
              <w:t>Section 2.4(iii)(g)</w:t>
            </w:r>
            <w:r>
              <w:rPr>
                <w:rFonts w:ascii="Times New Roman;Times;serif" w:hAnsi="Times New Roman;Times;serif"/>
                <w:sz w:val="24"/>
              </w:rPr>
              <w:t>).</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4"/>
        </w:rPr>
        <w:t>Notwithstanding anything to the contrary in this </w:t>
      </w:r>
      <w:r>
        <w:rPr>
          <w:rFonts w:ascii="Times New Roman;Times;serif" w:hAnsi="Times New Roman;Times;serif"/>
          <w:sz w:val="24"/>
          <w:u w:val="single"/>
        </w:rPr>
        <w:t>Section 2.4</w:t>
      </w:r>
      <w:r>
        <w:rPr>
          <w:rFonts w:ascii="Times New Roman;Times;serif" w:hAnsi="Times New Roman;Times;serif"/>
          <w:sz w:val="24"/>
        </w:rPr>
        <w:t>, the notice requirements set forth in these Bylaws with respect to the proposal of any business (other than nominations) pursuant to this </w:t>
      </w:r>
      <w:r>
        <w:rPr>
          <w:rFonts w:ascii="Times New Roman;Times;serif" w:hAnsi="Times New Roman;Times;serif"/>
          <w:sz w:val="24"/>
          <w:u w:val="single"/>
        </w:rPr>
        <w:t>Section 2.4</w:t>
      </w:r>
      <w:r>
        <w:rPr>
          <w:rFonts w:ascii="Times New Roman;Times;serif" w:hAnsi="Times New Roman;Times;serif"/>
          <w:sz w:val="20"/>
        </w:rPr>
        <w:t> </w:t>
      </w:r>
      <w:r>
        <w:rPr>
          <w:rFonts w:ascii="Times New Roman;Times;serif" w:hAnsi="Times New Roman;Times;serif"/>
          <w:sz w:val="24"/>
        </w:rPr>
        <w:t>will be deemed to be satisfied by a shareholder if (1) such shareholder has submitted a proposal to the Company in compliance with Rule 14a-8 under the 1934 Act; and (2) such shareholder’s proposal has been included in a proxy statement that has been prepared by the Company to solicit proxies for the meeting of shareholders. Subject to Rule 14a-8 and other applicable rules and regulations under the 1934 Act, nothing in these Bylaws will be construed to permit any shareholder, or give any shareholder the right, to include or have disseminated or described in the Company’s proxy statement any nomination of a director or any other business proposal.</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2.5</w:t>
      </w:r>
      <w:r>
        <w:rPr>
          <w:rFonts w:ascii="Times New Roman;Times;serif" w:hAnsi="Times New Roman;Times;serif"/>
          <w:sz w:val="24"/>
          <w:u w:val="single"/>
        </w:rPr>
        <w:t>Notice of Shareholders’ Meetings</w:t>
      </w:r>
      <w:r>
        <w:rPr>
          <w:rFonts w:ascii="Times New Roman;Times;serif" w:hAnsi="Times New Roman;Times;serif"/>
          <w:sz w:val="24"/>
        </w:rPr>
        <w:t>.  Whenever shareholders are required or permitted to take any action at a meeting, a notice of the meeting in the form of a writing or electronic transmission shall be given which shall state the place, if any, date and hour of the meeting, the means of remote communications, if any, by which shareholders and proxy 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 or purposes for which the meeting is called. Except as otherwise provided in the TBOC, the Certificate of Formation or these Bylaws, the notice of any meeting of shareholders shall be given not less than ten (10) nor more than sixty (60) days before the date of the meeting to each shareholder entitled to vote at such meeting as of the record date for determining the shareholders entitled to notice of the meeting.</w:t>
      </w:r>
    </w:p>
    <w:p>
      <w:pPr>
        <w:pStyle w:val="TextBody"/>
        <w:bidi w:val="0"/>
        <w:spacing w:before="0" w:after="120"/>
        <w:ind w:left="0" w:right="0" w:firstLine="720"/>
        <w:jc w:val="both"/>
        <w:rPr>
          <w:rFonts w:ascii="Times New Roman;Times;serif" w:hAnsi="Times New Roman;Times;serif"/>
          <w:sz w:val="24"/>
        </w:rPr>
      </w:pPr>
      <w:r>
        <w:rPr>
          <w:rFonts w:ascii="Times New Roman;Times;serif" w:hAnsi="Times New Roman;Times;serif"/>
          <w:sz w:val="24"/>
        </w:rPr>
        <w:t>Notwithstanding the preceding paragraph, notice of a shareholder meeting regarding a “fundamental business transaction” (as defined in Section 1.002 of the TBOC) must be given to each shareholder of the Company not later than twenty-one (21) days prior to such meeting, regardless of whether the shareholder is entitled to vote on the matter, in accordance with the TBOC.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2.6</w:t>
      </w:r>
      <w:r>
        <w:rPr>
          <w:rFonts w:ascii="Times New Roman;Times;serif" w:hAnsi="Times New Roman;Times;serif"/>
          <w:sz w:val="24"/>
          <w:u w:val="single"/>
        </w:rPr>
        <w:t>Adjournments</w:t>
      </w:r>
      <w:r>
        <w:rPr>
          <w:rFonts w:ascii="Times New Roman;Times;serif" w:hAnsi="Times New Roman;Times;serif"/>
          <w:sz w:val="24"/>
        </w:rPr>
        <w:t xml:space="preserve">.  Any meeting of the shareholders may be adjourned from time to time to reconvene at the same or some other place (if any), and notice need not be given of any such adjourned meeting if the time, place (if any), and the means of remote communication (if any) by which shareholders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in accordance with the requirements of </w:t>
      </w:r>
      <w:r>
        <w:rPr>
          <w:rFonts w:ascii="Times New Roman;Times;serif" w:hAnsi="Times New Roman;Times;serif"/>
          <w:sz w:val="24"/>
          <w:u w:val="single"/>
        </w:rPr>
        <w:t>Section 2.4</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Article II</w:t>
      </w:r>
      <w:r>
        <w:rPr>
          <w:rFonts w:ascii="Times New Roman;Times;serif" w:hAnsi="Times New Roman;Times;serif"/>
          <w:sz w:val="20"/>
        </w:rPr>
        <w:t xml:space="preserve"> </w:t>
      </w:r>
      <w:r>
        <w:rPr>
          <w:rFonts w:ascii="Times New Roman;Times;serif" w:hAnsi="Times New Roman;Times;serif"/>
          <w:sz w:val="24"/>
        </w:rPr>
        <w:t xml:space="preserve">shall be given to each shareholder of record entitled to vote at the meeting.  If, after the adjournment, a new record date for determination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shareholders entitled to vote is fixed for the adjourned meeting, the Board shall fix as the record date for determining shareholders entitled to notice of the adjourned meeting the same or an earlier date as that fixed for determination of shareholders entitled to vote at the adjourned meeting, and shall give notice of the adjourned meeting to each shareholder of record as of the record date so fixed for notice of the adjourned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2.7</w:t>
      </w:r>
      <w:r>
        <w:rPr>
          <w:rFonts w:ascii="Times New Roman;Times;serif" w:hAnsi="Times New Roman;Times;serif"/>
          <w:sz w:val="24"/>
          <w:u w:val="single"/>
        </w:rPr>
        <w:t>Quorum</w:t>
      </w:r>
      <w:r>
        <w:rPr>
          <w:rFonts w:ascii="Times New Roman;Times;serif" w:hAnsi="Times New Roman;Times;serif"/>
          <w:sz w:val="24"/>
        </w:rPr>
        <w:t>.  Unless otherwise required by applicable law, the Certificate of Formation, or these Bylaws, at each meeting of shareholders the presence in person or by proxy of the holders of shares of capital stock having a majority of the votes which could be cast by the holders of all issued and outstanding shares of capital stock of the Company entitled to vote at the meeting shall constitute a quorum for the transaction of business.  A quorum, once established, shall not be broken by the withdrawal of enough votes to leave less than a quorum, including, to the fullest extent permitted by law, at any adjournment thereof (unless a new record date is fixed for the adjourned meeting).</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4"/>
        </w:rPr>
        <w:t xml:space="preserve">If a quorum is not present or represented at any meeting of the shareholders, then either (i) the chairperson of the meeting, or (ii) the holders of a majority of the voting power of the shares entitled to vote, present in person or represented by proxy, shall have power to adjourn the meeting from time to time, in the manner provided in </w:t>
      </w:r>
      <w:r>
        <w:rPr>
          <w:rFonts w:ascii="Times New Roman;Times;serif" w:hAnsi="Times New Roman;Times;serif"/>
          <w:sz w:val="24"/>
          <w:u w:val="single"/>
        </w:rPr>
        <w:t>Section 2.5</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Article II</w:t>
      </w:r>
      <w:r>
        <w:rPr>
          <w:rFonts w:ascii="Times New Roman;Times;serif" w:hAnsi="Times New Roman;Times;serif"/>
          <w:sz w:val="20"/>
        </w:rPr>
        <w:t xml:space="preserve"> </w:t>
      </w:r>
      <w:r>
        <w:rPr>
          <w:rFonts w:ascii="Times New Roman;Times;serif" w:hAnsi="Times New Roman;Times;serif"/>
          <w:sz w:val="24"/>
        </w:rPr>
        <w:t>without notice other than announcement at the meeting, until a quorum is present or represented.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2.8</w:t>
      </w:r>
      <w:r>
        <w:rPr>
          <w:rFonts w:ascii="Times New Roman;Times;serif" w:hAnsi="Times New Roman;Times;serif"/>
          <w:sz w:val="24"/>
          <w:u w:val="single"/>
        </w:rPr>
        <w:t>Organization</w:t>
      </w:r>
      <w:r>
        <w:rPr>
          <w:rFonts w:ascii="Times New Roman;Times;serif" w:hAnsi="Times New Roman;Times;serif"/>
          <w:sz w:val="24"/>
        </w:rPr>
        <w:t>.  Meetings of shareholders shall be presided over by the Chairman of the Board or, in his or her absence, by the Chief Executive Officer or, in his or her absence, by the President or, in his or her absence, by a Vice President or, in the absence of the foregoing persons, by a chairman designated by the Board or, in the absence of such designation, by a chairman chosen at the meeting.  The Secretary shall act as secretary of the meeting, but in his or her absence the chairman of the meeting may appoint any person to act as secretary of the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2.9</w:t>
      </w:r>
      <w:r>
        <w:rPr>
          <w:rFonts w:ascii="Times New Roman;Times;serif" w:hAnsi="Times New Roman;Times;serif"/>
          <w:sz w:val="24"/>
          <w:u w:val="single"/>
        </w:rPr>
        <w:t>Voting</w:t>
      </w:r>
      <w:r>
        <w:rPr>
          <w:rFonts w:ascii="Times New Roman;Times;serif" w:hAnsi="Times New Roman;Times;serif"/>
          <w:sz w:val="24"/>
        </w:rPr>
        <w:t xml:space="preserve">.  Unless otherwise provided in the Certificate of Formation, and subject to </w:t>
      </w:r>
      <w:r>
        <w:rPr>
          <w:rFonts w:ascii="Times New Roman;Times;serif" w:hAnsi="Times New Roman;Times;serif"/>
          <w:sz w:val="24"/>
          <w:u w:val="single"/>
        </w:rPr>
        <w:t>Section 12(a)</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Article II</w:t>
      </w:r>
      <w:r>
        <w:rPr>
          <w:rFonts w:ascii="Times New Roman;Times;serif" w:hAnsi="Times New Roman;Times;serif"/>
          <w:sz w:val="24"/>
        </w:rPr>
        <w:t xml:space="preserve">, each shareholder represented at a meeting of the shareholders shall be entitled to cast one vote for each share of the capital stock entitled to vote thereat held by such shareholder.  Such votes may be cast in person or by proxy as provided in </w:t>
      </w:r>
      <w:r>
        <w:rPr>
          <w:rFonts w:ascii="Times New Roman;Times;serif" w:hAnsi="Times New Roman;Times;serif"/>
          <w:sz w:val="24"/>
          <w:u w:val="single"/>
        </w:rPr>
        <w:t>Section 9</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Article II</w:t>
      </w:r>
      <w:r>
        <w:rPr>
          <w:rFonts w:ascii="Times New Roman;Times;serif" w:hAnsi="Times New Roman;Times;serif"/>
          <w:sz w:val="24"/>
        </w:rPr>
        <w:t>.  Voting at meetings of shareholders need not be by written ballot and, unless otherwise required by law, need not be conducted by inspectors of election, unless (in either case) so determined by the holders of shares of stock having a majority of the votes which could be cast by the holders of issued and outstanding shares of capital stock entitled to vote that are present in person or by proxy at the meeting.  If authorized by the Board, any requirement of a written ballot shall be satisfied by a ballot submitted by electronic transmission, if any such electronic transmission sets forth or is submitted with information from which it can be determined that the electronic transmission was authorized by the shareholder or proxy holder.  Except as otherwise required by law, the Certificate of Formation, or these Bylaws, (i) in all matters other than the election of directors, the affirmative vote of a majority of the voting power of the shares present in person or represented by proxy at the meeting that are entitled to vote on the subject matter shall be the act of the shareholders, and (ii) directors shall be elected to the Board if the number of votes cast “for” such nominee’s election exceed the number of votes cast “against” such nominee’s election, excluding abstentions; provided that directors are elected by a plurality of the votes cast if the number of nominees exceeds the number of directors to be elected at such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2.10</w:t>
      </w:r>
      <w:r>
        <w:rPr>
          <w:rFonts w:ascii="Times New Roman;Times;serif" w:hAnsi="Times New Roman;Times;serif"/>
          <w:sz w:val="24"/>
          <w:u w:val="single"/>
        </w:rPr>
        <w:t>Proxies</w:t>
      </w:r>
      <w:r>
        <w:rPr>
          <w:rFonts w:ascii="Times New Roman;Times;serif" w:hAnsi="Times New Roman;Times;serif"/>
          <w:sz w:val="24"/>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Each shareholder entitled to vote at a meeting of shareholders or to express consent or dissent to corporate action in writing without a meeting may authorize another person or persons to act for such shareholder by proxy authorized by a document or by an electronic transmission permitted by law filed in accordance with the procedure established for the meeting, but no such proxy shall be voted or acted upon after eleven (11) months from its date, unless the proxy provides for a longer period. The revocability of a proxy that states on its face that it is irrevocable shall be governed by the provisions of Sections 21.368, 21.369 and 21.370 of the TBOC.</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Any shareholder directly or indirectly soliciting proxies from other shareholders must use a proxy card color other than white, which shall be reserved for the exclusive use by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2.11</w:t>
      </w:r>
      <w:r>
        <w:rPr>
          <w:rFonts w:ascii="Times New Roman;Times;serif" w:hAnsi="Times New Roman;Times;serif"/>
          <w:sz w:val="24"/>
          <w:u w:val="single"/>
        </w:rPr>
        <w:t>Action Without Meeting</w:t>
      </w:r>
      <w:r>
        <w:rPr>
          <w:rFonts w:ascii="Times New Roman;Times;serif" w:hAnsi="Times New Roman;Times;serif"/>
          <w:sz w:val="24"/>
        </w:rPr>
        <w:t>.  Except as otherwise provided by the TBOC, any action required by the TBOC to be taken at any annual or special meeting of shareholders of the Company, or any action which may be taken at any annual or special meeting of such shareholders, may be taken without a meeting, without prior notice and without a vote, if a consent or consents in writing, setting forth the action so taken, is signed by the holders of outstanding stock having at least the minimum number of votes that would be necessary to take the action that is the subject of the consent at a meeting in which each holder entitled to vote thereon is present and votes. An electronic transmission consenting to an action to be taken and transmitted by a shareholder or proxy holder, or by a person or persons authorized to act for a shareholder or proxy holder, shall be deemed written, signed, and dated for the purposes of the preceding sentence, so long as such electronic transmission sets forth or is delivered with information from which the Company can determine that the electronic transmission was transmitted by the shareholder or proxy holder, or by a person or persons authorized to act for the shareholder or proxy holder, and the date on which such shareholder or proxy holder or authorized person or persons transmitted the electronic transmission.  If the Board is soliciting the written consent of shareholders of the Company, an electronic transmission of a written consent by or on behalf of a shareholder pursuant to that solicitation may be delivered to the President or the Secretary of the Company or a person designated by the President or the Secretary of the Company.  The President or the Secretary of the Company, or the designee of either of them, shall cause any such written consent by electronic transmission to be reproduced in paper form and inserted in the corporate records of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2.12</w:t>
      </w:r>
      <w:r>
        <w:rPr>
          <w:rFonts w:ascii="Times New Roman;Times;serif" w:hAnsi="Times New Roman;Times;serif"/>
          <w:sz w:val="24"/>
          <w:u w:val="single"/>
        </w:rPr>
        <w:t>List of Shareholders Entitled to Vote</w:t>
      </w:r>
      <w:r>
        <w:rPr>
          <w:rFonts w:ascii="Times New Roman;Times;serif" w:hAnsi="Times New Roman;Times;serif"/>
          <w:sz w:val="24"/>
        </w:rPr>
        <w:t xml:space="preserve">.  Not later than the eleventh (11th) day before the date of each meeting of the shareholders of the Company, an officer or agent having charge of the Company’s stock transfer records shall prepare an alphabetical list of the shareholders entitled to vote at such meeting or any adjournment or postponement thereof showing the address and the type and number of shares held by each shareholder. Such list shall be kept on file at the registered office or the principal executive office of the Company and shall be subject to inspection by any shareholder at any time during regular business hours for a period of at least ten (10) days prior to such meeting. Alternatively, the list of shareholders may be kept on a reasonably accessible electronic network, if the information required to gain access to the list is provided with the notice of the meeting. In the event that the Company determines to make the list available on an electronic network, the Company may take reasonable steps to ensure that such information is available only to shareholders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Company. Except as otherwise provided by law, the Company may maintain and authorize examination of the list of shareholders in any manner expressly permitted by the TBOC at the time.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2.13</w:t>
      </w:r>
      <w:r>
        <w:rPr>
          <w:rFonts w:ascii="Times New Roman;Times;serif" w:hAnsi="Times New Roman;Times;serif"/>
          <w:sz w:val="24"/>
          <w:u w:val="single"/>
        </w:rPr>
        <w:t>Record Date</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order that the Company may determine the shareholders entitled to notice of any meeting of the shareholders or any adjournment thereof, the Board may fix a record date, which record date shall not precede the date upon which the resolution fixing the record date is adopted by the Board, and which record date shall (unless otherwise required by law) not be more than 60 nor less than 10 days before the date of such meeting.  If the Board so fixes a date, such date shall also be the record date for determining the shareholders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shareholders entitled to notice of or to vote at a meeting of the shareholders shall be at the close of business on the day next preceding the day on which notice is given, or, if notice is waived, at the close of business on the day next preceding the day on which the meeting is held.  A determination of shareholders of record entitled to notice of or to vote at a meeting of the shareholders shall apply to any adjournment of the meeting; provided, that the Board may fix a new record date for determination of shareholders entitled to vote at the adjourned meeting, and in such case shall also fix as the record date for shareholders entitled to notice of such adjourned meeting the same or an earlier date as that fixed for determination of shareholders entitled to vote in accordance herewith at the adjourned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In order that the Company may determine the shareholders entitled to consent to corporate action in writing without a meeting, the Board may fix a record date, which record date shall not precede the date upon which the resolution fixing the record date is adopted by the Board, and which record date shall not be more than 10 days after the date upon which the resolution fixing the record date is adopted by the Board.  If no record date has been fixed by the Board, the record date for determining shareholders entitled to consent to corporate action in writing without a meeting shall be determined in accordance with Sections 6.101 and 6.201 of the TBOC;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if no record date is otherwise determinable under the TBOC, the record date shall be the close of business on the day immediately preceding the day on which the first signed written consent setting forth the action taken or proposed to be taken is delivered to the Company. If no record date has been fixed by the Board and prior action by the Board is required by applicable law, the record date for determining shareholders entitled to consent to corporate action in writing without a meeting shall be at the close of business on the day on which the Board adopts the resolution taking such prior action.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In order that the Company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shareholders for any such purpose shall be at the close of business on the day on which the Board adopts the resolution relating thereto.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2.14</w:t>
      </w:r>
      <w:r>
        <w:rPr>
          <w:rFonts w:ascii="Times New Roman;Times;serif" w:hAnsi="Times New Roman;Times;serif"/>
          <w:sz w:val="24"/>
          <w:u w:val="single"/>
        </w:rPr>
        <w:t>Conduct of Meetings</w:t>
      </w:r>
      <w:r>
        <w:rPr>
          <w:rFonts w:ascii="Times New Roman;Times;serif" w:hAnsi="Times New Roman;Times;serif"/>
          <w:sz w:val="24"/>
        </w:rPr>
        <w:t xml:space="preserve">.  The Board may adopt by resolution such rules and regulations for the conduct of any meeting of the shareholders as it shall deem appropriate.  Except to the extent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inconsistent with such rules and regulations as adopted by the Board, the chairman of any meeting of the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shareholders of record of the Company,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  Except to the extent determined by the Board or the chairman of the meeting, meetings of shareholders shall not be required to be conducted in accordance with the rules of parliamentary procedure.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III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DIRECTORS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Duties and Powers</w:t>
      </w:r>
      <w:r>
        <w:rPr>
          <w:rFonts w:ascii="Times New Roman;Times;serif" w:hAnsi="Times New Roman;Times;serif"/>
          <w:sz w:val="24"/>
        </w:rPr>
        <w:t>.  The business and affairs of the Company shall be managed by or under the direction of the Board, which may exercise all such powers of the Company and do all such lawful acts and things as are not by the TBOC, the Certificate of Formation, or these Bylaws required to be exercised or done by the shareholders.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Election, Number and Term</w:t>
      </w:r>
      <w:r>
        <w:rPr>
          <w:rFonts w:ascii="Times New Roman;Times;serif" w:hAnsi="Times New Roman;Times;serif"/>
          <w:sz w:val="24"/>
        </w:rPr>
        <w:t>.  The Board shall initially consist of the person or persons named as director or directors in the Certificate of Formation, and such director or directors shall hold office until the first annual meeting of shareholders or until his, her or their successor is duly elected and qualified.  At the first annual meeting of shareholders and at each annual meeting thereafter, the shareholders shall elect one or more directors each of whom shall hold office for a term of one year or until his or her successor is duly elected and qualified, subject to such director’s earlier death, resignation, disqualification, or removal.  The number of directors serving on the Board shall be fixed from time to time by resolution of the Board, but shall in no event consist of less than one director.  Directors shall be elected at each annual meeting of the shareholders, and each director shall be elected to serve until his or her successor shall be elected and shall qualify.  Directors need not be shareholders.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Vacancies</w:t>
      </w:r>
      <w:r>
        <w:rPr>
          <w:rFonts w:ascii="Times New Roman;Times;serif" w:hAnsi="Times New Roman;Times;serif"/>
          <w:sz w:val="24"/>
        </w:rPr>
        <w:t>.  Unless otherwise provided in the Certificate of Formation or these Bylaws, subject to the rights of holders of any series of preferred stock with respect to the election of directors, and except as otherwise provided in the TBOC, vacancies occurring on the Board of Directors for any reason and newly created directorships resulting from an increase in the authorized number of directors may be filled solely and exclusively by a majority vote of the remaining members of the Board of Directors, even if less than a quorum, or by a sole remaining director (and not by shareholders). A person so elected or appointed to fill a vacancy or newly created directorship shall hold office until the next annual meeting of shareholders and until his or her successor shall be duly elected and qualified.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3.4</w:t>
      </w:r>
      <w:r>
        <w:rPr>
          <w:rFonts w:ascii="Times New Roman;Times;serif" w:hAnsi="Times New Roman;Times;serif"/>
          <w:sz w:val="24"/>
          <w:u w:val="single"/>
        </w:rPr>
        <w:t>Meetings</w:t>
      </w:r>
      <w:r>
        <w:rPr>
          <w:rFonts w:ascii="Times New Roman;Times;serif" w:hAnsi="Times New Roman;Times;serif"/>
          <w:sz w:val="24"/>
        </w:rPr>
        <w:t xml:space="preserve">.  The Board may hold meetings, both regular and special, either within or without the State of Texas.  Regular meetings of the Board may be held without notice at such time and at such place as may from time to time be determined by the Board.  Special meetings of the Board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may be called by the Chairman of the Board, if there be one, the President, or any two or more directors or by one director in the event that there is only a single director in office.  Notice of any special meeting, stating the place, date, and hour of the meeting, shall be given to each director (i) in person or by telephone, or by prepaid courier, by telecopy, or by electronic transmission to the director’s business, home, or electronic-mail address in the Company’s records at least 24 hours before the meeting, or (ii) by first-class, postage-prepaid mail to the director’s business or home address in the Company’s records at least four days before the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3.5</w:t>
      </w:r>
      <w:r>
        <w:rPr>
          <w:rFonts w:ascii="Times New Roman;Times;serif" w:hAnsi="Times New Roman;Times;serif"/>
          <w:sz w:val="24"/>
          <w:u w:val="single"/>
        </w:rPr>
        <w:t>Organization</w:t>
      </w:r>
      <w:r>
        <w:rPr>
          <w:rFonts w:ascii="Times New Roman;Times;serif" w:hAnsi="Times New Roman;Times;serif"/>
          <w:sz w:val="24"/>
        </w:rPr>
        <w:t>.  At each meeting of the Board, the Chairman of the Board or, in his or her absence, a director chosen by a majority of the directors present shall act as chairman of the meeting.  The Secretary of the Company shall act as secretary at each meeting of the Board.  If, however, the Secretary shall be absent from any meeting of the Board, an Assistant Secretary shall perform the duties of secretary at such meeting; and in the absence from any such meeting of the Secretary and all the Assistant Secretaries, the chairman of the meeting may appoint any other person to act as secretary of the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3.6</w:t>
      </w:r>
      <w:r>
        <w:rPr>
          <w:rFonts w:ascii="Times New Roman;Times;serif" w:hAnsi="Times New Roman;Times;serif"/>
          <w:sz w:val="24"/>
          <w:u w:val="single"/>
        </w:rPr>
        <w:t>Quorum</w:t>
      </w:r>
      <w:r>
        <w:rPr>
          <w:rFonts w:ascii="Times New Roman;Times;serif" w:hAnsi="Times New Roman;Times;serif"/>
          <w:sz w:val="24"/>
        </w:rPr>
        <w:t>.  Except as otherwise required by law or the Certificate of Formation, at all meetings of the Board, (i) the directors entitled to cast a majority of the votes of the entire Board shall constitute a quorum for the transaction of business, and (ii) a majority of the votes entitled to be cast by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3.7</w:t>
      </w:r>
      <w:r>
        <w:rPr>
          <w:rFonts w:ascii="Times New Roman;Times;serif" w:hAnsi="Times New Roman;Times;serif"/>
          <w:sz w:val="24"/>
          <w:u w:val="single"/>
        </w:rPr>
        <w:t>Actions of the Board by Written Consent</w:t>
      </w:r>
      <w:r>
        <w:rPr>
          <w:rFonts w:ascii="Times New Roman;Times;serif" w:hAnsi="Times New Roman;Times;serif"/>
          <w:sz w:val="24"/>
        </w:rPr>
        <w:t>.  Unless otherwise restricted by the Certificate of Formation or these Bylaws, any action required or permitted to be taken at any meeting of the Board or of any committee thereof may be taken without a meeting, if all the members of the Board or the committee, as the case may be, consent thereto in writing or by electronic transmission, and the writing or writings or the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3.8</w:t>
      </w:r>
      <w:r>
        <w:rPr>
          <w:rFonts w:ascii="Times New Roman;Times;serif" w:hAnsi="Times New Roman;Times;serif"/>
          <w:sz w:val="24"/>
          <w:u w:val="single"/>
        </w:rPr>
        <w:t>Meetings by Means of Conference Telephone</w:t>
      </w:r>
      <w:r>
        <w:rPr>
          <w:rFonts w:ascii="Times New Roman;Times;serif" w:hAnsi="Times New Roman;Times;serif"/>
          <w:sz w:val="24"/>
        </w:rPr>
        <w:t xml:space="preserve">.  Unless otherwise provided in the Certificate of Formation or these Bylaws,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Times New Roman;Times;serif" w:hAnsi="Times New Roman;Times;serif"/>
          <w:sz w:val="24"/>
          <w:u w:val="single"/>
        </w:rPr>
        <w:t>Section 3.8</w:t>
      </w:r>
      <w:r>
        <w:rPr>
          <w:rFonts w:ascii="Times New Roman;Times;serif" w:hAnsi="Times New Roman;Times;serif"/>
          <w:sz w:val="20"/>
        </w:rPr>
        <w:t xml:space="preserve"> </w:t>
      </w:r>
      <w:r>
        <w:rPr>
          <w:rFonts w:ascii="Times New Roman;Times;serif" w:hAnsi="Times New Roman;Times;serif"/>
          <w:sz w:val="24"/>
        </w:rPr>
        <w:t>shall constitute presence in person at such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3.9</w:t>
      </w:r>
      <w:r>
        <w:rPr>
          <w:rFonts w:ascii="Times New Roman;Times;serif" w:hAnsi="Times New Roman;Times;serif"/>
          <w:sz w:val="24"/>
          <w:u w:val="single"/>
        </w:rPr>
        <w:t>Fees and Compensation of Directors</w:t>
      </w:r>
      <w:r>
        <w:rPr>
          <w:rFonts w:ascii="Times New Roman;Times;serif" w:hAnsi="Times New Roman;Times;serif"/>
          <w:sz w:val="24"/>
        </w:rPr>
        <w:t>.  Unless otherwise restricted by the Certificate of Formation or these Bylaws, the Board shall have the authority to fix the compensation of directors.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3.10</w:t>
      </w:r>
      <w:r>
        <w:rPr>
          <w:rFonts w:ascii="Times New Roman;Times;serif" w:hAnsi="Times New Roman;Times;serif"/>
          <w:sz w:val="24"/>
          <w:u w:val="single"/>
        </w:rPr>
        <w:t>Resignations and Removals of Directors</w:t>
      </w:r>
      <w:r>
        <w:rPr>
          <w:rFonts w:ascii="Times New Roman;Times;serif" w:hAnsi="Times New Roman;Times;serif"/>
          <w:sz w:val="24"/>
        </w:rPr>
        <w:t xml:space="preserve">.  Any director of the Company may resign at any time, by giving notice in writing or by electronic transmission to the Chairman of the Board, the President or the Secretary of the Company. Such resignation shall take effect at the time therein specified or, if no time is specified, immediately; and, unless otherwise specified in such notice, the acceptance of such resignation shall not be necessary to make it effective.  Except as otherwise required by applicable law and subject to the rights, if any, of the holders of shares of preferred stock of the Company then outstanding with respect to the election of directors, any director may be removed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from office at any time, with or without cause, by the affirmative vote of the holders of at least a majority in voting power of the issued and outstanding capital stock of the Company entitled to vote in the election of directors.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IV</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COMMITTEES</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w:t>
      </w:r>
      <w:r>
        <w:rPr>
          <w:rFonts w:ascii="Times New Roman;Times;serif" w:hAnsi="Times New Roman;Times;serif"/>
          <w:sz w:val="24"/>
          <w:u w:val="single"/>
        </w:rPr>
        <w:t>Committees of Directors</w:t>
      </w:r>
      <w:r>
        <w:rPr>
          <w:rFonts w:ascii="Times New Roman;Times;serif" w:hAnsi="Times New Roman;Times;serif"/>
          <w:sz w:val="24"/>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In the event a member or members of a committee abstain or are disqualified from a vote, the majority vote of the member or members thereof not abstaining or disqualified from voting, whether or not such member or members constitute a quorum, shall be the act of such committee.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amend the certificate of formation, except to (x) establish series of shares, (y) increase or decrease the number of shares in a series or (z) eliminate a series of shares as authorized by Section 21.155 of the TBOC, (ii) propose a reduction of stated capital under Sections 21.253 and 21.254 of the TBOC, (iii) approve a plan of merger, share exchange, or conversion of the Company, (iv) recommend to shareholders the sale, lease or exchange of all or substantially all of the property and assets of the Company not made in the usual and regular course of its business, (v) recommend to the shareholders a voluntary winding up and termination or a revocation of a voluntary winding up and termination, (vi) amend, alter or repeal the bylaws or adopt new bylaws, (vii) fill vacancies on the Board, (viii) fill vacancies on or designate alternate members of a committee of the Board, (ix) fill a vacancy to be filled because of an increase in the number of directors, (x) elect or remove officers of the Company or members or alternate members of a committee of the Board, (xi) set the compensation of the members or alternate members of a committee of the Board or (xii) alter or repeal a resolution of the Board that states that it may not be amended or repealed by a committee of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Committee Minutes</w:t>
      </w:r>
      <w:r>
        <w:rPr>
          <w:rFonts w:ascii="Times New Roman;Times;serif" w:hAnsi="Times New Roman;Times;serif"/>
          <w:sz w:val="24"/>
        </w:rPr>
        <w:t>.  Each committee and subcommittee shall keep regular minutes of its meetings and report the same to the Board, or the committee, when required.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Meetings and Actions of Committees</w:t>
      </w:r>
      <w:r>
        <w:rPr>
          <w:rFonts w:ascii="Times New Roman;Times;serif" w:hAnsi="Times New Roman;Times;serif"/>
          <w:sz w:val="24"/>
        </w:rPr>
        <w:t>.  A majority of the directors then serving on a committee or subcommittee shall constitute a quorum for the transaction of business by the committee or subcommittee, unless the Certificate of Formation, these Bylaws, a resolution of the Board or a resolution of a committee that created the subcommittee requires a greater or lesser number; </w:t>
      </w:r>
      <w:r>
        <w:rPr>
          <w:rFonts w:ascii="Times New Roman;Times;serif" w:hAnsi="Times New Roman;Times;serif"/>
          <w:i/>
          <w:sz w:val="24"/>
        </w:rPr>
        <w:t>provided </w:t>
      </w:r>
      <w:r>
        <w:rPr>
          <w:rFonts w:ascii="Times New Roman;Times;serif" w:hAnsi="Times New Roman;Times;serif"/>
          <w:sz w:val="24"/>
        </w:rPr>
        <w:t xml:space="preserve">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unless the Certificate of Formation,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tbl>
      <w:tblPr>
        <w:tblW w:w="2478" w:type="dxa"/>
        <w:jc w:val="left"/>
        <w:tblInd w:w="0" w:type="dxa"/>
        <w:tblLayout w:type="fixed"/>
        <w:tblCellMar>
          <w:top w:w="0" w:type="dxa"/>
          <w:left w:w="0" w:type="dxa"/>
          <w:bottom w:w="0" w:type="dxa"/>
          <w:right w:w="0" w:type="dxa"/>
        </w:tblCellMar>
      </w:tblPr>
      <w:tblGrid>
        <w:gridCol w:w="23"/>
        <w:gridCol w:w="23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w:t>
            </w:r>
          </w:p>
        </w:tc>
        <w:tc>
          <w:tcPr>
            <w:tcW w:w="222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3.4 (Meetings);</w:t>
            </w:r>
          </w:p>
        </w:tc>
      </w:tr>
    </w:tbl>
    <w:tbl>
      <w:tblPr>
        <w:tblW w:w="2898" w:type="dxa"/>
        <w:jc w:val="left"/>
        <w:tblInd w:w="0" w:type="dxa"/>
        <w:tblLayout w:type="fixed"/>
        <w:tblCellMar>
          <w:top w:w="0" w:type="dxa"/>
          <w:left w:w="0" w:type="dxa"/>
          <w:bottom w:w="0" w:type="dxa"/>
          <w:right w:w="0" w:type="dxa"/>
        </w:tblCellMar>
      </w:tblPr>
      <w:tblGrid>
        <w:gridCol w:w="23"/>
        <w:gridCol w:w="29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w:t>
            </w:r>
          </w:p>
        </w:tc>
        <w:tc>
          <w:tcPr>
            <w:tcW w:w="258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3.5 (Organization);</w:t>
            </w:r>
          </w:p>
        </w:tc>
      </w:tr>
    </w:tbl>
    <w:tbl>
      <w:tblPr>
        <w:tblW w:w="2523" w:type="dxa"/>
        <w:jc w:val="left"/>
        <w:tblInd w:w="0" w:type="dxa"/>
        <w:tblLayout w:type="fixed"/>
        <w:tblCellMar>
          <w:top w:w="0" w:type="dxa"/>
          <w:left w:w="0" w:type="dxa"/>
          <w:bottom w:w="0" w:type="dxa"/>
          <w:right w:w="0" w:type="dxa"/>
        </w:tblCellMar>
      </w:tblPr>
      <w:tblGrid>
        <w:gridCol w:w="23"/>
        <w:gridCol w:w="35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(iii)</w:t>
            </w:r>
          </w:p>
        </w:tc>
        <w:tc>
          <w:tcPr>
            <w:tcW w:w="215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3.6 (Quorum);</w:t>
            </w:r>
          </w:p>
        </w:tc>
      </w:tr>
    </w:tbl>
    <w:tbl>
      <w:tblPr>
        <w:tblW w:w="5613" w:type="dxa"/>
        <w:jc w:val="left"/>
        <w:tblInd w:w="0" w:type="dxa"/>
        <w:tblLayout w:type="fixed"/>
        <w:tblCellMar>
          <w:top w:w="0" w:type="dxa"/>
          <w:left w:w="0" w:type="dxa"/>
          <w:bottom w:w="0" w:type="dxa"/>
          <w:right w:w="0" w:type="dxa"/>
        </w:tblCellMar>
      </w:tblPr>
      <w:tblGrid>
        <w:gridCol w:w="23"/>
        <w:gridCol w:w="35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(iv)</w:t>
            </w:r>
          </w:p>
        </w:tc>
        <w:tc>
          <w:tcPr>
            <w:tcW w:w="524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3.7 (Actions of the Board by Written Consent);</w:t>
            </w:r>
          </w:p>
        </w:tc>
      </w:tr>
    </w:tbl>
    <w:tbl>
      <w:tblPr>
        <w:tblW w:w="6408" w:type="dxa"/>
        <w:jc w:val="left"/>
        <w:tblInd w:w="0" w:type="dxa"/>
        <w:tblLayout w:type="fixed"/>
        <w:tblCellMar>
          <w:top w:w="0" w:type="dxa"/>
          <w:left w:w="0" w:type="dxa"/>
          <w:bottom w:w="0" w:type="dxa"/>
          <w:right w:w="0" w:type="dxa"/>
        </w:tblCellMar>
      </w:tblPr>
      <w:tblGrid>
        <w:gridCol w:w="23"/>
        <w:gridCol w:w="290"/>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(v)</w:t>
            </w:r>
          </w:p>
        </w:tc>
        <w:tc>
          <w:tcPr>
            <w:tcW w:w="609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3.8 (Meetings by Means of Conference Telephone); and</w:t>
            </w:r>
          </w:p>
        </w:tc>
      </w:tr>
    </w:tbl>
    <w:tbl>
      <w:tblPr>
        <w:tblW w:w="3363" w:type="dxa"/>
        <w:jc w:val="left"/>
        <w:tblInd w:w="0" w:type="dxa"/>
        <w:tblLayout w:type="fixed"/>
        <w:tblCellMar>
          <w:top w:w="0" w:type="dxa"/>
          <w:left w:w="0" w:type="dxa"/>
          <w:bottom w:w="0" w:type="dxa"/>
          <w:right w:w="0" w:type="dxa"/>
        </w:tblCellMar>
      </w:tblPr>
      <w:tblGrid>
        <w:gridCol w:w="23"/>
        <w:gridCol w:w="35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(vi)</w:t>
            </w:r>
          </w:p>
        </w:tc>
        <w:tc>
          <w:tcPr>
            <w:tcW w:w="299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Section 7.2 (Waiver of Notice),</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4"/>
        </w:rPr>
        <w:t xml:space="preserve">with such changes in the context of these Bylaws as are necessary to substitute the committee or subcommittee and its members for the Board and its members. </w:t>
      </w:r>
      <w:r>
        <w:rPr>
          <w:rFonts w:ascii="Times New Roman;Times;serif" w:hAnsi="Times New Roman;Times;serif"/>
          <w:i/>
          <w:sz w:val="24"/>
        </w:rPr>
        <w:t>However</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time and place of regular meetings of committees and subcommittees may be determined either by resolution of the Board or by resolution of the committee or subcommittee;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special meetings of committees and subcommittees may also be called by resolution of the Board or the committee or subcommittee; and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 of these Bylaws.</w:t>
      </w:r>
    </w:p>
    <w:p>
      <w:pPr>
        <w:pStyle w:val="TextBody"/>
        <w:bidi w:val="0"/>
        <w:spacing w:before="0" w:after="120"/>
        <w:ind w:left="0" w:right="0" w:firstLine="720"/>
        <w:jc w:val="both"/>
        <w:rPr>
          <w:rFonts w:ascii="Times New Roman;Times;serif" w:hAnsi="Times New Roman;Times;serif"/>
          <w:sz w:val="24"/>
        </w:rPr>
      </w:pPr>
      <w:r>
        <w:rPr>
          <w:rFonts w:ascii="Times New Roman;Times;serif" w:hAnsi="Times New Roman;Times;serif"/>
          <w:sz w:val="24"/>
        </w:rPr>
        <w:t>Any provision in the Certificate of Formation providing that one or more directors shall have more or less than one vote per director on any matter shall apply to voting in any committee or subcommittee, unless otherwise provided in the Certificate of Formation or these Bylaws.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4.4</w:t>
      </w:r>
      <w:r>
        <w:rPr>
          <w:rFonts w:ascii="Times New Roman;Times;serif" w:hAnsi="Times New Roman;Times;serif"/>
          <w:sz w:val="24"/>
          <w:u w:val="single"/>
        </w:rPr>
        <w:t>Subcommittees</w:t>
      </w:r>
      <w:r>
        <w:rPr>
          <w:rFonts w:ascii="Times New Roman;Times;serif" w:hAnsi="Times New Roman;Times;serif"/>
          <w:sz w:val="24"/>
        </w:rPr>
        <w:t>.  Unless otherwise provided in the Certificate of Formation,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V</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OFFICERS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General</w:t>
      </w:r>
      <w:r>
        <w:rPr>
          <w:rFonts w:ascii="Times New Roman;Times;serif" w:hAnsi="Times New Roman;Times;serif"/>
          <w:sz w:val="24"/>
        </w:rPr>
        <w:t>.  The officers of the Company shall be chosen by the Board and shall be a President, a Secretary, and a Treasurer.  The Board, in its discretion, also may choose a Chairman of the Board, who must be a director, and one or more Vice Presidents, Assistant Secretaries, Assistant Treasurers, and other officers.  Any number of offices may be held by the same person, unless otherwise prohibited by law, the Certificate of Formation, or these Bylaws.  The officers of the Company need not be shareholders of the Company, nor, except in the case of the Chairman of the Board, need such officers be directors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Election</w:t>
      </w:r>
      <w:r>
        <w:rPr>
          <w:rFonts w:ascii="Times New Roman;Times;serif" w:hAnsi="Times New Roman;Times;serif"/>
          <w:sz w:val="24"/>
        </w:rPr>
        <w:t>.  The Board, at its first meeting held after each annual meeting of shareholders (or action by written consent of shareholders in lieu of the annual meeting of shareholders), shall elect the officers of the Company, who shall hold their offices for such terms and shall exercise such powers and perform such duties as shall be determined from time to time by the Board; and each officer of the Company shall hold office until such officer’s successor is elected and qualified, or until such officer’s earlier death, resignation, disqualification, or removal.  Any vacancy occurring in any office of the Company that is elected by the Board shall be filled by the Board.  The compensation of all officers of the Company who are elected by the Board shall be fixed or approved by the Board.  The Board may also empower or authorize the Chief Executive Officer or (if different) the President to appoint such other subordinate officers and agents of the Company as the business of the Company may require.  The Chief Executive Officer or (if different) the President will report to the Board the names and titles of any such subordinate officers appointed by him or her.  Unless the Board otherwise determines, the Chief Executive Officer or (if different) the President appointing any such subordinate officer may fix that subordinate officer’s compensation and may remove that appointed officer at any time, with or without cause.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Voting Securities Owned by the Company</w:t>
      </w:r>
      <w:r>
        <w:rPr>
          <w:rFonts w:ascii="Times New Roman;Times;serif" w:hAnsi="Times New Roman;Times;serif"/>
          <w:sz w:val="24"/>
        </w:rPr>
        <w:t>.  Powers of attorney, proxies, waivers of notice of meeting, consents and other instruments relating to securities owned by the Company may be executed in the name of and on behalf of the Company by the President or any Vice President or any other officer authorized to do so by the Board, and any such officer may, in the name of and on behalf of the Company, take all such action as any such officer may deem advisable to vote in person or by proxy at any meeting of security holders of any corporation or other entity in which the Company may own securities and at any such meeting shall possess and may exercise any and all rights and power incident to the ownership of such securities and which, as the owner thereof, the Company might have exercised and possessed if present.  The Board may, by resolution, from time to time confer like powers upon any other person or persons.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Chairman of the Board</w:t>
      </w:r>
      <w:r>
        <w:rPr>
          <w:rFonts w:ascii="Times New Roman;Times;serif" w:hAnsi="Times New Roman;Times;serif"/>
          <w:sz w:val="24"/>
        </w:rPr>
        <w:t>.  The Chairman of the Board, if there be one, shall preside at all meetings of the shareholders and of the Board, shall have the authority to sign stock certificates of the Company, and shall perform such other duties and may exercise such other powers as may from time to time be assigned by these Bylaws or by the Board.  The Chairman of the Board may, but need not be, an employee or an officer of the Company.  The Board may, if it chooses, designate the Chairman of the Board as the Chief Executive Officer of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President</w:t>
      </w:r>
      <w:r>
        <w:rPr>
          <w:rFonts w:ascii="Times New Roman;Times;serif" w:hAnsi="Times New Roman;Times;serif"/>
          <w:sz w:val="24"/>
        </w:rPr>
        <w:t xml:space="preserve">.  Unless the Board otherwise determines (including, without limitation, by election or designation of another Chief Executive Officer), the President shall be the Chief Executive Officer of the Company.  As such Chief Executive Officer, the President shall, subject to the control of the Board and, if there be one, the Chairman of the Board, have general supervision of the business of the Company and shall see that all orders and resolutions of the Board are carried into effect.  If the President is not the Chief Executive Officer, he or she shall be the Chief Operating Officer of the Company, with the general responsibility for the management and control of the operations of the Company.   The President shall execute all bonds, mortgages, contracts and other instruments of the Company, under the seal of the Company (if required), except where required or permitted by law to be otherwise signed and executed and except that the other officers of the Company may sign and execute documents when so authorized by these Bylaws, the Board, or the President.  In the absence or disability of the Chairman of the Board, or if there be none, the President shall preside at all meetings of the shareholders and, if the President is also a director, the Board.  If, however, the Board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shall designate another officer to be the Chief Executive Officer of the Company, then the President shall report to the Chief Executive Officer and perform such duties and have such powers as the Chief Executive Officer may from time to time prescribe.  The President shall also perform such other duties and may exercise such other powers as may from time to time be assigned to such officer by these Bylaws or by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5.6</w:t>
      </w:r>
      <w:r>
        <w:rPr>
          <w:rFonts w:ascii="Times New Roman;Times;serif" w:hAnsi="Times New Roman;Times;serif"/>
          <w:sz w:val="24"/>
          <w:u w:val="single"/>
        </w:rPr>
        <w:t>Vice Presidents</w:t>
      </w:r>
      <w:r>
        <w:rPr>
          <w:rFonts w:ascii="Times New Roman;Times;serif" w:hAnsi="Times New Roman;Times;serif"/>
          <w:sz w:val="24"/>
        </w:rPr>
        <w:t>.  At the request of the President or in the President’s absence or in the event of the President’s inability or refusal to act (and if there be no Chairman of the Board), the Vice President, or the Vice Presidents if there are more than one (in the order designated by the Board), shall perform the duties of the President, and when so acting, shall have all the powers of and be subject to all the restrictions upon the President.  Each Vice President shall perform such other duties and have such other powers as the Board, the Chief Executive Officer, or the President from time to time may prescribe.  If there be no Chairman of the Board and no Vice President, the Board shall designate the officer of the Company who, in the absence of the President or in the event of the inability or refusal of the President to act, shall perform the duties of the President, and when so acting, shall have all the powers of and be subject to all the restrictions upon the President.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5.7</w:t>
      </w:r>
      <w:r>
        <w:rPr>
          <w:rFonts w:ascii="Times New Roman;Times;serif" w:hAnsi="Times New Roman;Times;serif"/>
          <w:sz w:val="24"/>
          <w:u w:val="single"/>
        </w:rPr>
        <w:t>Secretary</w:t>
      </w:r>
      <w:r>
        <w:rPr>
          <w:rFonts w:ascii="Times New Roman;Times;serif" w:hAnsi="Times New Roman;Times;serif"/>
          <w:sz w:val="24"/>
        </w:rPr>
        <w:t>.  The Secretary shall attend all meetings of the Board and all meetings of the shareholders and record all the proceedings thereat in a book or books to be kept for that purpose; the Secretary shall also perform like duties for committees of the Board when required.  The Secretary shall give, or cause to be given, notice of all meetings of the shareholders and special meetings of the Board, and shall perform such other duties as may be prescribed by the Board, the Chairman of the Board (if there be one) or the President, under whose supervision the Secretary shall be.  If the Secretary shall be unable or shall refuse to cause to be given notice of all meetings of the shareholders and special meetings of the Board, and if there be no Assistant Secretary, then either the Board or the President may choose another officer to cause such notice to be given.  The Secretary shall have custody of the seal of the Company, and the Secretary or any Assistant Secretary, if there be one, shall have authority to affix the same to any instrument requiring it and when so affixed, it may be attested by the signature of the Secretary or by the signature of any such Assistant Secretary.  The Board may give general authority to any other officer to affix the seal of the Company and to attest to the affixing by such officer’s signature.  The Secretary shall see that all books, reports, statements, certificates and other documents and records required by law to be kept or filed are properly kept or filed, as the case may be.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5.8</w:t>
      </w:r>
      <w:r>
        <w:rPr>
          <w:rFonts w:ascii="Times New Roman;Times;serif" w:hAnsi="Times New Roman;Times;serif"/>
          <w:sz w:val="24"/>
          <w:u w:val="single"/>
        </w:rPr>
        <w:t>Treasurer</w:t>
      </w:r>
      <w:r>
        <w:rPr>
          <w:rFonts w:ascii="Times New Roman;Times;serif" w:hAnsi="Times New Roman;Times;serif"/>
          <w:sz w:val="24"/>
        </w:rPr>
        <w:t>.  The Treasurer shall have the custody of or responsibility for the corporate funds and securities of the Company and shall keep full and accurate accounts of receipts and disbursements in books belonging to the Company and shall deposit all moneys and other valuable effects in the name and to the credit of the Company in such depositories as may be designated by the Board.  The Treasurer shall disburse the funds of the Company as may be ordered by the Board, taking proper vouchers for such disbursements, and shall render to the President and the Board, at its regular meetings, or when the Board so requires, an account of all transactions as Treasurer and of the financial condition of the Company.  If required by the Board, the Treasurer shall give the Company a bond in such sum and with such surety or sureties as shall be satisfactory to the Board for the faithful performance of the duties of the office of the Treasurer and for the restoration to the Company, in case of the Treasurer’s death, resignation, retirement, or removal from office, of all books, papers, vouchers, money and other property of whatever kind in the Treasurer’s possession or under the Treasurer’s control belonging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5.9</w:t>
      </w:r>
      <w:r>
        <w:rPr>
          <w:rFonts w:ascii="Times New Roman;Times;serif" w:hAnsi="Times New Roman;Times;serif"/>
          <w:sz w:val="24"/>
          <w:u w:val="single"/>
        </w:rPr>
        <w:t>Assistant Secretaries</w:t>
      </w:r>
      <w:r>
        <w:rPr>
          <w:rFonts w:ascii="Times New Roman;Times;serif" w:hAnsi="Times New Roman;Times;serif"/>
          <w:sz w:val="24"/>
        </w:rPr>
        <w:t>.  Assistant Secretaries, if there be any, shall perform such duties and have such powers as from time to time may be assigned to them by the Board, the 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5.10</w:t>
      </w:r>
      <w:r>
        <w:rPr>
          <w:rFonts w:ascii="Times New Roman;Times;serif" w:hAnsi="Times New Roman;Times;serif"/>
          <w:sz w:val="24"/>
          <w:u w:val="single"/>
        </w:rPr>
        <w:t>Assistant Treasurers</w:t>
      </w:r>
      <w:r>
        <w:rPr>
          <w:rFonts w:ascii="Times New Roman;Times;serif" w:hAnsi="Times New Roman;Times;serif"/>
          <w:sz w:val="24"/>
        </w:rPr>
        <w:t>.  Assistant Treasurers, if there be any, shall perform such duties and have such powers as from time to time may be assigned to them by the Board, the 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an Assistant Treasurer shall give the Company a bond in such sum and with such surety or sureties as shall be satisfactory to the Board for the faithful performance of the duties of the office of Assistant Treasurer and for the restoration to the Company, in case of the Assistant Treasurer’s death, resignation, retirement, or removal from office, of all books, papers, vouchers, money and other property of whatever kind in the Assistant Treasurer’s possession or under the Assistant Treasurer’s control belonging to the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5.11</w:t>
      </w:r>
      <w:r>
        <w:rPr>
          <w:rFonts w:ascii="Times New Roman;Times;serif" w:hAnsi="Times New Roman;Times;serif"/>
          <w:sz w:val="24"/>
          <w:u w:val="single"/>
        </w:rPr>
        <w:t>Other Officers</w:t>
      </w:r>
      <w:r>
        <w:rPr>
          <w:rFonts w:ascii="Times New Roman;Times;serif" w:hAnsi="Times New Roman;Times;serif"/>
          <w:sz w:val="24"/>
        </w:rPr>
        <w:t>.  Such other officers as the Board may choose shall perform such duties and have such powers as from time to time may be assigned to them by the Board.  The Board may delegate to the Chief Executive Officer or the President the power to choose such other officers and to prescribe their respective duties and powers, but such persons shall not be deemed officers of the Company unless elected by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5.12</w:t>
      </w:r>
      <w:r>
        <w:rPr>
          <w:rFonts w:ascii="Times New Roman;Times;serif" w:hAnsi="Times New Roman;Times;serif"/>
          <w:sz w:val="24"/>
          <w:u w:val="single"/>
        </w:rPr>
        <w:t>Removal and Resignation</w:t>
      </w:r>
      <w:r>
        <w:rPr>
          <w:rFonts w:ascii="Times New Roman;Times;serif" w:hAnsi="Times New Roman;Times;serif"/>
          <w:i/>
          <w:sz w:val="24"/>
        </w:rPr>
        <w:t>.  </w:t>
      </w:r>
      <w:r>
        <w:rPr>
          <w:rFonts w:ascii="Times New Roman;Times;serif" w:hAnsi="Times New Roman;Times;serif"/>
          <w:sz w:val="24"/>
        </w:rPr>
        <w:t>Any officer of the Company may be removed as such, with or without cause, by the Board at any time or, except in the case of an officer elected by the Board, by any other officer upon whom such power of removal may be conferred by the Board.  Any officer of the Company may resign as such at any time upon written notice to the Company. Such resignation shall be made in writing and shall take effect at the time specified therein or, if no time is specified therein, at the time of its receipt by the Company. The acceptance of a resignation shall not be necessary to make it effective, unless expressly so provided in the resignation.  Any such removal or resignation shall be without prejudice to the rights, if any, of the officer or the Company under any contract to which such officer is a party.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VI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6.1</w:t>
      </w:r>
      <w:r>
        <w:rPr>
          <w:rFonts w:ascii="Times New Roman;Times;serif" w:hAnsi="Times New Roman;Times;serif"/>
          <w:sz w:val="24"/>
          <w:u w:val="single"/>
        </w:rPr>
        <w:t>Stock Certificates; No Partly Paid Shares</w:t>
      </w:r>
      <w:r>
        <w:rPr>
          <w:rFonts w:ascii="Times New Roman;Times;serif" w:hAnsi="Times New Roman;Times;serif"/>
          <w:sz w:val="24"/>
        </w:rPr>
        <w:t>.  The shares of the Company shall be uncertificated, </w:t>
      </w:r>
      <w:r>
        <w:rPr>
          <w:rFonts w:ascii="Times New Roman;Times;serif" w:hAnsi="Times New Roman;Times;serif"/>
          <w:i/>
          <w:sz w:val="24"/>
        </w:rPr>
        <w:t>provided </w:t>
      </w:r>
      <w:r>
        <w:rPr>
          <w:rFonts w:ascii="Times New Roman;Times;serif" w:hAnsi="Times New Roman;Times;serif"/>
          <w:sz w:val="24"/>
        </w:rPr>
        <w:t xml:space="preserve">that the Board may provide by resolution or resolutions that some or all of any or all classes or series of its stock shall be represented by certificates. Any such resolution shall not apply to shares represented by a certificate until such certificate is surrendered to the Company. Unless otherwise provided by resolution of the Board,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same effect as if such person were such officer, transfer agent or registrar at the date of issue. The Company shall not have power to issue a certificate in bearer form. The Company may not issue the whole or any part of its shares as partly paid.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6.2</w:t>
      </w:r>
      <w:r>
        <w:rPr>
          <w:rFonts w:ascii="Times New Roman;Times;serif" w:hAnsi="Times New Roman;Times;serif"/>
          <w:sz w:val="24"/>
          <w:u w:val="single"/>
        </w:rPr>
        <w:t>Special Designation on Certificates</w:t>
      </w:r>
      <w:r>
        <w:rPr>
          <w:rFonts w:ascii="Times New Roman;Times;serif" w:hAnsi="Times New Roman;Times;serif"/>
          <w:sz w:val="24"/>
        </w:rPr>
        <w:t>.  If the Company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Times;serif" w:hAnsi="Times New Roman;Times;serif"/>
          <w:i/>
          <w:sz w:val="24"/>
        </w:rPr>
        <w:t>provided </w:t>
      </w:r>
      <w:r>
        <w:rPr>
          <w:rFonts w:ascii="Times New Roman;Times;serif" w:hAnsi="Times New Roman;Times;serif"/>
          <w:sz w:val="24"/>
        </w:rPr>
        <w:t>that, except as otherwise provided in Section 3.202 of the TBOC, in lieu of the foregoing requirements, there may be set forth on the face or back of the certificate that the Company shall issue to represent such class or series of stock, a statement that the Company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Times New Roman;Times;serif" w:hAnsi="Times New Roman;Times;serif"/>
          <w:sz w:val="24"/>
          <w:u w:val="single"/>
        </w:rPr>
        <w:t>Section 6.2</w:t>
      </w:r>
      <w:r>
        <w:rPr>
          <w:rFonts w:ascii="Times New Roman;Times;serif" w:hAnsi="Times New Roman;Times;serif"/>
          <w:sz w:val="20"/>
        </w:rPr>
        <w:t> </w:t>
      </w:r>
      <w:r>
        <w:rPr>
          <w:rFonts w:ascii="Times New Roman;Times;serif" w:hAnsi="Times New Roman;Times;serif"/>
          <w:sz w:val="24"/>
        </w:rPr>
        <w:t>or Section 3.205 of the TBOC or with respect to this </w:t>
      </w:r>
      <w:r>
        <w:rPr>
          <w:rFonts w:ascii="Times New Roman;Times;serif" w:hAnsi="Times New Roman;Times;serif"/>
          <w:sz w:val="24"/>
          <w:u w:val="single"/>
        </w:rPr>
        <w:t>Section 6.2</w:t>
      </w:r>
      <w:r>
        <w:rPr>
          <w:rFonts w:ascii="Times New Roman;Times;serif" w:hAnsi="Times New Roman;Times;serif"/>
          <w:sz w:val="20"/>
        </w:rPr>
        <w:t> </w:t>
      </w:r>
      <w:r>
        <w:rPr>
          <w:rFonts w:ascii="Times New Roman;Times;serif" w:hAnsi="Times New Roman;Times;serif"/>
          <w:sz w:val="24"/>
        </w:rPr>
        <w:t>a statement that the Company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6.3</w:t>
      </w:r>
      <w:r>
        <w:rPr>
          <w:rFonts w:ascii="Times New Roman;Times;serif" w:hAnsi="Times New Roman;Times;serif"/>
          <w:sz w:val="24"/>
          <w:u w:val="single"/>
        </w:rPr>
        <w:t>Lost Certificates</w:t>
      </w:r>
      <w:r>
        <w:rPr>
          <w:rFonts w:ascii="Times New Roman;Times;serif" w:hAnsi="Times New Roman;Times;serif"/>
          <w:sz w:val="24"/>
        </w:rPr>
        <w:t>.  Except as provided in this </w:t>
      </w:r>
      <w:r>
        <w:rPr>
          <w:rFonts w:ascii="Times New Roman;Times;serif" w:hAnsi="Times New Roman;Times;serif"/>
          <w:sz w:val="24"/>
          <w:u w:val="single"/>
        </w:rPr>
        <w:t>Section 6.3</w:t>
      </w:r>
      <w:r>
        <w:rPr>
          <w:rFonts w:ascii="Times New Roman;Times;serif" w:hAnsi="Times New Roman;Times;serif"/>
          <w:sz w:val="24"/>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6.4</w:t>
      </w:r>
      <w:r>
        <w:rPr>
          <w:rFonts w:ascii="Times New Roman;Times;serif" w:hAnsi="Times New Roman;Times;serif"/>
          <w:sz w:val="24"/>
          <w:u w:val="single"/>
        </w:rPr>
        <w:t>Dividend Record Date</w:t>
      </w:r>
      <w:r>
        <w:rPr>
          <w:rFonts w:ascii="Times New Roman;Times;serif" w:hAnsi="Times New Roman;Times;serif"/>
          <w:sz w:val="24"/>
        </w:rPr>
        <w:t>.  In order that the Company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shareholders for any such purpose shall be at the close of business on the day on which the Board adopts the resolution relating thereto.</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6.5</w:t>
      </w:r>
      <w:r>
        <w:rPr>
          <w:rFonts w:ascii="Times New Roman;Times;serif" w:hAnsi="Times New Roman;Times;serif"/>
          <w:sz w:val="24"/>
          <w:u w:val="single"/>
        </w:rPr>
        <w:t>Transfer and Registry Agents</w:t>
      </w:r>
      <w:r>
        <w:rPr>
          <w:rFonts w:ascii="Times New Roman;Times;serif" w:hAnsi="Times New Roman;Times;serif"/>
          <w:sz w:val="24"/>
        </w:rPr>
        <w:t>.  The Company may from time to time maintain one or more transfer offices or agencies and registry offices or agencies at such place or places as may be determined from time to time by the Board.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VII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NOTICES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Notices</w:t>
      </w:r>
      <w:r>
        <w:rPr>
          <w:rFonts w:ascii="Times New Roman;Times;serif" w:hAnsi="Times New Roman;Times;serif"/>
          <w:sz w:val="24"/>
        </w:rPr>
        <w:t>.  Whenever written notice is required by law, the Certificate of Formation, or these Bylaws to be given to any director, member of a committee, or shareholder, such notice may be given by mail, addressed to such director, member of a committee, or shareholder, at such person’s address as it appears on the records of the Company, with postage thereon prepaid, and such notice shall be deemed to be given at the time when the same shall be deposited in the United States mail or with a nationally recognized overnight courier service.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Waivers of Notice</w:t>
      </w:r>
      <w:r>
        <w:rPr>
          <w:rFonts w:ascii="Times New Roman;Times;serif" w:hAnsi="Times New Roman;Times;serif"/>
          <w:sz w:val="24"/>
        </w:rPr>
        <w:t>.  Whenever any notice is required by applicable law, the Certificate of Formation, or these Bylaws to be given to any director, member of a committee, or shareholder, a written waiver, signed by the person entitled to notice, or a waiver by electronic transmission by the person entitled to notice, whether before or after the time of the event for which the notice is to be given, shall be deemed equivalent to notice.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shareholders or any regular or special meeting of the directors or members of a committee of directors need be specified in any written waiver of notice unless so required by law, the Certificate of Formation or these Bylaws.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VIII</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GENERAL PROVISIONS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Distributions</w:t>
      </w:r>
      <w:r>
        <w:rPr>
          <w:rFonts w:ascii="Times New Roman;Times;serif" w:hAnsi="Times New Roman;Times;serif"/>
          <w:sz w:val="24"/>
        </w:rPr>
        <w:t>. Subject to the limitations prescribed by law and the provisions of the Certificate of Formation relating thereto, if any, the Board may authorize and the Company may make distributions out of assets legally available for such distributions to such extent as the Board may deem advisable.  Distributions may be paid in cash or other property or in shares of the Company’s capital stock.  Before payment of any distribution, there may be set aside out of any surplus or net profits of the Company such sum or sums as the Board from time to time, in its absolute discretion, deem proper as a reserve or reserves to meet contingencies, or for any other proper purpose, and the Board may modify or abolish any such reserve in its absolute discretion.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8.2</w:t>
      </w:r>
      <w:r>
        <w:rPr>
          <w:rFonts w:ascii="Times New Roman;Times;serif" w:hAnsi="Times New Roman;Times;serif"/>
          <w:sz w:val="24"/>
          <w:u w:val="single"/>
        </w:rPr>
        <w:t>Disbursements</w:t>
      </w:r>
      <w:r>
        <w:rPr>
          <w:rFonts w:ascii="Times New Roman;Times;serif" w:hAnsi="Times New Roman;Times;serif"/>
          <w:sz w:val="24"/>
        </w:rPr>
        <w:t>.  All checks or demands for money and notes of the Company shall be signed by such officer or officers or such other person or persons as the Board may from time to time designate.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8.3</w:t>
      </w:r>
      <w:r>
        <w:rPr>
          <w:rFonts w:ascii="Times New Roman;Times;serif" w:hAnsi="Times New Roman;Times;serif"/>
          <w:sz w:val="24"/>
          <w:u w:val="single"/>
        </w:rPr>
        <w:t>Fiscal Year</w:t>
      </w:r>
      <w:r>
        <w:rPr>
          <w:rFonts w:ascii="Times New Roman;Times;serif" w:hAnsi="Times New Roman;Times;serif"/>
          <w:sz w:val="24"/>
        </w:rPr>
        <w:t>.  The fiscal year of the Company shall be fixed by resolution of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8.4</w:t>
      </w:r>
      <w:r>
        <w:rPr>
          <w:rFonts w:ascii="Times New Roman;Times;serif" w:hAnsi="Times New Roman;Times;serif"/>
          <w:sz w:val="24"/>
          <w:u w:val="single"/>
        </w:rPr>
        <w:t>Corporate Seal</w:t>
      </w:r>
      <w:r>
        <w:rPr>
          <w:rFonts w:ascii="Times New Roman;Times;serif" w:hAnsi="Times New Roman;Times;serif"/>
          <w:sz w:val="24"/>
        </w:rPr>
        <w:t>.  The Company may adopt a corporate seal, which shall be in such form as may be approved from time to time by the Board.  The seal may be used by causing it or a facsimile thereof to be impressed or affixed or reproduced or otherwise.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8.5</w:t>
      </w:r>
      <w:r>
        <w:rPr>
          <w:rFonts w:ascii="Times New Roman;Times;serif" w:hAnsi="Times New Roman;Times;serif"/>
          <w:sz w:val="24"/>
          <w:u w:val="single"/>
        </w:rPr>
        <w:t>Certificate of Formation</w:t>
      </w:r>
      <w:r>
        <w:rPr>
          <w:rFonts w:ascii="Times New Roman;Times;serif" w:hAnsi="Times New Roman;Times;serif"/>
          <w:sz w:val="24"/>
        </w:rPr>
        <w:t xml:space="preserve">.  All references in these Bylaws to the </w:t>
      </w:r>
      <w:r>
        <w:rPr>
          <w:rFonts w:ascii="Times New Roman;Times;serif" w:hAnsi="Times New Roman;Times;serif"/>
          <w:sz w:val="20"/>
        </w:rPr>
        <w:t>“</w:t>
      </w:r>
      <w:r>
        <w:rPr>
          <w:rFonts w:ascii="Times New Roman;Times;serif" w:hAnsi="Times New Roman;Times;serif"/>
          <w:b/>
          <w:i/>
          <w:sz w:val="24"/>
        </w:rPr>
        <w:t>Certificate of Formation</w:t>
      </w:r>
      <w:r>
        <w:rPr>
          <w:rFonts w:ascii="Times New Roman;Times;serif" w:hAnsi="Times New Roman;Times;serif"/>
          <w:sz w:val="20"/>
        </w:rPr>
        <w:t xml:space="preserve">” </w:t>
      </w:r>
      <w:r>
        <w:rPr>
          <w:rFonts w:ascii="Times New Roman;Times;serif" w:hAnsi="Times New Roman;Times;serif"/>
          <w:sz w:val="24"/>
        </w:rPr>
        <w:t>shall be deemed to refer to the Certificate of Formation of the Company, as amended or restated and in effect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8.6</w:t>
      </w:r>
      <w:r>
        <w:rPr>
          <w:rFonts w:ascii="Times New Roman;Times;serif" w:hAnsi="Times New Roman;Times;serif"/>
          <w:sz w:val="24"/>
          <w:u w:val="single"/>
        </w:rPr>
        <w:t>Severability</w:t>
      </w:r>
      <w:r>
        <w:rPr>
          <w:rFonts w:ascii="Times New Roman;Times;serif" w:hAnsi="Times New Roman;Times;serif"/>
          <w:sz w:val="24"/>
        </w:rPr>
        <w:t>.  Any determination that any provision of these Bylaws is for any reason inapplicable, illegal, or ineffective shall not affect or invalidate any other provision of these Bylaws.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8.7</w:t>
      </w:r>
      <w:r>
        <w:rPr>
          <w:rFonts w:ascii="Times New Roman;Times;serif" w:hAnsi="Times New Roman;Times;serif"/>
          <w:sz w:val="24"/>
          <w:u w:val="single"/>
        </w:rPr>
        <w:t>Forum Selection</w:t>
      </w:r>
      <w:r>
        <w:rPr>
          <w:rFonts w:ascii="Times New Roman;Times;serif" w:hAnsi="Times New Roman;Times;serif"/>
          <w:sz w:val="24"/>
        </w:rPr>
        <w:t>.  Unless the Company consents in writing to the selection of an alternative forum, the Texas Business Court in the First Division of the Texas Business Court (or, if the Texas Business Court does not have jurisdiction, the federal district court for the Eastern</w:t>
      </w:r>
      <w:r>
        <w:rPr>
          <w:rFonts w:ascii="Times New Roman;Times;serif" w:hAnsi="Times New Roman;Times;serif"/>
          <w:sz w:val="20"/>
        </w:rPr>
        <w:t xml:space="preserve"> </w:t>
      </w:r>
      <w:r>
        <w:rPr>
          <w:rFonts w:ascii="Times New Roman;Times;serif" w:hAnsi="Times New Roman;Times;serif"/>
          <w:sz w:val="24"/>
        </w:rPr>
        <w:t>District of Texas, Sherman</w:t>
      </w:r>
      <w:r>
        <w:rPr>
          <w:rFonts w:ascii="Times New Roman;Times;serif" w:hAnsi="Times New Roman;Times;serif"/>
          <w:sz w:val="20"/>
        </w:rPr>
        <w:t xml:space="preserve"> </w:t>
      </w:r>
      <w:r>
        <w:rPr>
          <w:rFonts w:ascii="Times New Roman;Times;serif" w:hAnsi="Times New Roman;Times;serif"/>
          <w:sz w:val="24"/>
        </w:rPr>
        <w:t>Division or the state district court of Denton</w:t>
      </w:r>
      <w:r>
        <w:rPr>
          <w:rFonts w:ascii="Times New Roman;Times;serif" w:hAnsi="Times New Roman;Times;serif"/>
          <w:sz w:val="20"/>
        </w:rPr>
        <w:t xml:space="preserve"> </w:t>
      </w:r>
      <w:r>
        <w:rPr>
          <w:rFonts w:ascii="Times New Roman;Times;serif" w:hAnsi="Times New Roman;Times;serif"/>
          <w:sz w:val="24"/>
        </w:rPr>
        <w:t>County, Texas or another state court in Texas, provided, however, and for purposes of clarity, any suit, action or other proceeding shall only be brought before a state court in Denton</w:t>
      </w:r>
      <w:r>
        <w:rPr>
          <w:rFonts w:ascii="Times New Roman;Times;serif" w:hAnsi="Times New Roman;Times;serif"/>
          <w:sz w:val="20"/>
        </w:rPr>
        <w:t xml:space="preserve"> </w:t>
      </w:r>
      <w:r>
        <w:rPr>
          <w:rFonts w:ascii="Times New Roman;Times;serif" w:hAnsi="Times New Roman;Times;serif"/>
          <w:sz w:val="24"/>
        </w:rPr>
        <w:t xml:space="preserve">County, Texas, to the extent and only to the extent that the Texas Business Court and the Federal Court do not have jurisdiction over the same) shall, to the fullest extent permitted by law, be the sole and exclusive forum for (a) any derivative action or proceeding brought on behalf of the Company, (b) any action asserting a claim for or based on a breach of a fiduciary duty owed by any current or former director, shareholder, officer or other employee of the Company to the Company or the Company’s shareholders, (c) any action asserting a claim against the Company or any current or former director, officer or other employee of the Company arising pursuant to any provision of the TBOC or the Certificate of Formation or these Bylaws (as each may be amended from time to time), (d) any action asserting an “internal entity claim” (as defined in Section 2.115 of the TBOC) or (e) any other action or proceeding in which the Texas Business Court has jurisdiction, except for, as to each of (a) through (e) above,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 For the avoidance of doubt, nothing contained in this first paragraph of </w:t>
      </w:r>
      <w:r>
        <w:rPr>
          <w:rFonts w:ascii="Times New Roman;Times;serif" w:hAnsi="Times New Roman;Times;serif"/>
          <w:sz w:val="24"/>
          <w:u w:val="single"/>
        </w:rPr>
        <w:t>Section 8.7</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Article VIII</w:t>
      </w:r>
      <w:r>
        <w:rPr>
          <w:rFonts w:ascii="Times New Roman;Times;serif" w:hAnsi="Times New Roman;Times;serif"/>
          <w:sz w:val="20"/>
        </w:rPr>
        <w:t xml:space="preserve"> </w:t>
      </w:r>
      <w:r>
        <w:rPr>
          <w:rFonts w:ascii="Times New Roman;Times;serif" w:hAnsi="Times New Roman;Times;serif"/>
          <w:sz w:val="24"/>
        </w:rPr>
        <w:t>shall apply to any action brought to enforce a duty or liability created by the Securities Act of 1933, as amended (the “</w:t>
      </w:r>
      <w:r>
        <w:rPr>
          <w:rFonts w:ascii="Times New Roman;Times;serif" w:hAnsi="Times New Roman;Times;serif"/>
          <w:b/>
          <w:i/>
          <w:sz w:val="24"/>
        </w:rPr>
        <w:t>1933 Act</w:t>
      </w:r>
      <w:r>
        <w:rPr>
          <w:rFonts w:ascii="Times New Roman;Times;serif" w:hAnsi="Times New Roman;Times;serif"/>
          <w:sz w:val="20"/>
        </w:rPr>
        <w:t>”</w:t>
      </w:r>
      <w:r>
        <w:rPr>
          <w:rFonts w:ascii="Times New Roman;Times;serif" w:hAnsi="Times New Roman;Times;serif"/>
          <w:sz w:val="24"/>
        </w:rPr>
        <w:t>), or the 1934 Act or any successor thereto.</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8.8</w:t>
      </w:r>
      <w:r>
        <w:rPr>
          <w:rFonts w:ascii="Times New Roman;Times;serif" w:hAnsi="Times New Roman;Times;serif"/>
          <w:sz w:val="24"/>
          <w:u w:val="single"/>
        </w:rPr>
        <w:t>Inconsistent Provisions</w:t>
      </w:r>
      <w:r>
        <w:rPr>
          <w:rFonts w:ascii="Times New Roman;Times;serif" w:hAnsi="Times New Roman;Times;serif"/>
          <w:sz w:val="24"/>
        </w:rPr>
        <w:t>.  In the event that any provision of these Bylaws is or becomes inconsistent with any provision of the Certificate of Formation, the TBOC, or any other applicable law, the provision of these Bylaws shall not be given any effect to the extent of such inconsistency, but shall otherwise be given full force and effect.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IX</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INDEMNIFICATION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Indemnification of Directors and Officers in Third Party Proceedings</w:t>
      </w:r>
      <w:r>
        <w:rPr>
          <w:rFonts w:ascii="Times New Roman;Times;serif" w:hAnsi="Times New Roman;Times;serif"/>
          <w:sz w:val="24"/>
        </w:rPr>
        <w:t>.  Subject to the other provisions of this </w:t>
      </w:r>
      <w:r>
        <w:rPr>
          <w:rFonts w:ascii="Times New Roman;Times;serif" w:hAnsi="Times New Roman;Times;serif"/>
          <w:sz w:val="24"/>
          <w:u w:val="single"/>
        </w:rPr>
        <w:t>Article IX</w:t>
      </w:r>
      <w:r>
        <w:rPr>
          <w:rFonts w:ascii="Times New Roman;Times;serif" w:hAnsi="Times New Roman;Times;serif"/>
          <w:sz w:val="24"/>
        </w:rPr>
        <w:t>, the Company shall indemnify, to the fullest extent permitted by the TBOC, as now or hereinafter in effect, any person who was or is a party or is threatened to be made a party to any threatened, pending or completed action, suit or proceeding, whether civil, criminal, administrative or investigative (a “</w:t>
      </w:r>
      <w:r>
        <w:rPr>
          <w:rFonts w:ascii="Times New Roman;Times;serif" w:hAnsi="Times New Roman;Times;serif"/>
          <w:b/>
          <w:i/>
          <w:sz w:val="24"/>
        </w:rPr>
        <w:t>Proceeding</w:t>
      </w:r>
      <w:r>
        <w:rPr>
          <w:rFonts w:ascii="Times New Roman;Times;serif" w:hAnsi="Times New Roman;Times;serif"/>
          <w:sz w:val="20"/>
        </w:rPr>
        <w:t>”</w:t>
      </w:r>
      <w:r>
        <w:rPr>
          <w:rFonts w:ascii="Times New Roman;Times;serif" w:hAnsi="Times New Roman;Times;serif"/>
          <w:sz w:val="24"/>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4"/>
        </w:rPr>
        <w:t>the Company, and, with respect to any criminal action or proceeding, had no reasonable cause to believe such person’s conduct was unlawful. The termination of any Proceeding by judgment, order, settlement, conviction, or upon a plea of </w:t>
      </w:r>
      <w:r>
        <w:rPr>
          <w:rFonts w:ascii="Times New Roman;Times;serif" w:hAnsi="Times New Roman;Times;serif"/>
          <w:i/>
          <w:sz w:val="24"/>
        </w:rPr>
        <w:t>nolo contendere </w:t>
      </w:r>
      <w:r>
        <w:rPr>
          <w:rFonts w:ascii="Times New Roman;Times;serif" w:hAnsi="Times New Roman;Times;serif"/>
          <w:sz w:val="24"/>
        </w:rPr>
        <w:t>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9.2</w:t>
      </w:r>
      <w:r>
        <w:rPr>
          <w:rFonts w:ascii="Times New Roman;Times;serif" w:hAnsi="Times New Roman;Times;serif"/>
          <w:sz w:val="24"/>
          <w:u w:val="single"/>
        </w:rPr>
        <w:t>Indemnification of Directors and Officers in Actions by or in the Right of the Company</w:t>
      </w:r>
      <w:r>
        <w:rPr>
          <w:rFonts w:ascii="Times New Roman;Times;serif" w:hAnsi="Times New Roman;Times;serif"/>
          <w:sz w:val="24"/>
        </w:rPr>
        <w:t xml:space="preserve">.  Subject to the other provisions of this </w:t>
      </w:r>
      <w:r>
        <w:rPr>
          <w:rFonts w:ascii="Times New Roman;Times;serif" w:hAnsi="Times New Roman;Times;serif"/>
          <w:sz w:val="24"/>
          <w:u w:val="single"/>
        </w:rPr>
        <w:t>Article IX</w:t>
      </w:r>
      <w:r>
        <w:rPr>
          <w:rFonts w:ascii="Times New Roman;Times;serif" w:hAnsi="Times New Roman;Times;serif"/>
          <w:sz w:val="24"/>
        </w:rPr>
        <w:t>, the Company shall indemnify, to the fullest extent permitted by the TBOC,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9.3</w:t>
      </w:r>
      <w:r>
        <w:rPr>
          <w:rFonts w:ascii="Times New Roman;Times;serif" w:hAnsi="Times New Roman;Times;serif"/>
          <w:sz w:val="24"/>
          <w:u w:val="single"/>
        </w:rPr>
        <w:t>Successful Defense</w:t>
      </w:r>
      <w:r>
        <w:rPr>
          <w:rFonts w:ascii="Times New Roman;Times;serif" w:hAnsi="Times New Roman;Times;serif"/>
          <w:sz w:val="24"/>
        </w:rPr>
        <w:t>.  To the extent that a present or former director or officer of the Company has been successful on the merits or otherwise in defense of any action, suit or proceeding described in </w:t>
      </w:r>
      <w:r>
        <w:rPr>
          <w:rFonts w:ascii="Times New Roman;Times;serif" w:hAnsi="Times New Roman;Times;serif"/>
          <w:sz w:val="24"/>
          <w:u w:val="single"/>
        </w:rPr>
        <w:t>Section 9.1</w:t>
      </w:r>
      <w:r>
        <w:rPr>
          <w:rFonts w:ascii="Times New Roman;Times;serif" w:hAnsi="Times New Roman;Times;serif"/>
          <w:sz w:val="20"/>
        </w:rPr>
        <w:t> </w:t>
      </w:r>
      <w:r>
        <w:rPr>
          <w:rFonts w:ascii="Times New Roman;Times;serif" w:hAnsi="Times New Roman;Times;serif"/>
          <w:sz w:val="24"/>
        </w:rPr>
        <w:t>or </w:t>
      </w:r>
      <w:r>
        <w:rPr>
          <w:rFonts w:ascii="Times New Roman;Times;serif" w:hAnsi="Times New Roman;Times;serif"/>
          <w:sz w:val="24"/>
          <w:u w:val="single"/>
        </w:rPr>
        <w:t>Section 9.2</w:t>
      </w:r>
      <w:r>
        <w:rPr>
          <w:rFonts w:ascii="Times New Roman;Times;serif" w:hAnsi="Times New Roman;Times;serif"/>
          <w:sz w:val="20"/>
        </w:rPr>
        <w:t> </w:t>
      </w:r>
      <w:r>
        <w:rPr>
          <w:rFonts w:ascii="Times New Roman;Times;serif" w:hAnsi="Times New Roman;Times;serif"/>
          <w:sz w:val="24"/>
        </w:rPr>
        <w:t>of these Bylaws, or in defense of any claim, issue or matter therein, such person shall be indemnified against expenses (including attorneys’ fees) actually and reasonably incurred by such person in connection therewith.</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9.4</w:t>
      </w:r>
      <w:r>
        <w:rPr>
          <w:rFonts w:ascii="Times New Roman;Times;serif" w:hAnsi="Times New Roman;Times;serif"/>
          <w:sz w:val="24"/>
          <w:u w:val="single"/>
        </w:rPr>
        <w:t>Indemnification of Others</w:t>
      </w:r>
      <w:r>
        <w:rPr>
          <w:rFonts w:ascii="Times New Roman;Times;serif" w:hAnsi="Times New Roman;Times;serif"/>
          <w:sz w:val="24"/>
        </w:rPr>
        <w:t>.  Subject to the other provisions of this </w:t>
      </w:r>
      <w:r>
        <w:rPr>
          <w:rFonts w:ascii="Times New Roman;Times;serif" w:hAnsi="Times New Roman;Times;serif"/>
          <w:sz w:val="24"/>
          <w:u w:val="single"/>
        </w:rPr>
        <w:t>Article IX</w:t>
      </w:r>
      <w:r>
        <w:rPr>
          <w:rFonts w:ascii="Times New Roman;Times;serif" w:hAnsi="Times New Roman;Times;serif"/>
          <w:sz w:val="24"/>
        </w:rPr>
        <w:t>, the Company shall have power to indemnify its employees and agents to the extent not prohibited by the TBOC or other applicable law. The Board shall have the power to delegate to any person or persons the determination of whether employees or agents shall be indemnified.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9.5</w:t>
      </w:r>
      <w:r>
        <w:rPr>
          <w:rFonts w:ascii="Times New Roman;Times;serif" w:hAnsi="Times New Roman;Times;serif"/>
          <w:sz w:val="24"/>
          <w:u w:val="single"/>
        </w:rPr>
        <w:t>Advanced Payment of Expenses</w:t>
      </w:r>
      <w:r>
        <w:rPr>
          <w:rFonts w:ascii="Times New Roman;Times;serif" w:hAnsi="Times New Roman;Times;serif"/>
          <w:sz w:val="24"/>
        </w:rPr>
        <w:t>.  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any documentation as may be required by the TBOC) and an undertaking by or on behalf of the person to repay such amounts if it shall ultimately be determined that the person is not entitled to be indemnified under this </w:t>
      </w:r>
      <w:r>
        <w:rPr>
          <w:rFonts w:ascii="Times New Roman;Times;serif" w:hAnsi="Times New Roman;Times;serif"/>
          <w:sz w:val="24"/>
          <w:u w:val="single"/>
        </w:rPr>
        <w:t>Article IX</w:t>
      </w:r>
      <w:r>
        <w:rPr>
          <w:rFonts w:ascii="Times New Roman;Times;serif" w:hAnsi="Times New Roman;Times;serif"/>
          <w:sz w:val="20"/>
        </w:rPr>
        <w:t> </w:t>
      </w:r>
      <w:r>
        <w:rPr>
          <w:rFonts w:ascii="Times New Roman;Times;serif" w:hAnsi="Times New Roman;Times;serif"/>
          <w:sz w:val="24"/>
        </w:rPr>
        <w:t xml:space="preserve">or the TBOC.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4"/>
        </w:rPr>
        <w:t>these Bylaws, but shall apply to any Proceeding (or any part of any Proceeding) referenced in </w:t>
      </w:r>
      <w:r>
        <w:rPr>
          <w:rFonts w:ascii="Times New Roman;Times;serif" w:hAnsi="Times New Roman;Times;serif"/>
          <w:sz w:val="24"/>
          <w:u w:val="single"/>
        </w:rPr>
        <w:t>Section 9.6(ii)</w:t>
      </w:r>
      <w:r>
        <w:rPr>
          <w:rFonts w:ascii="Times New Roman;Times;serif" w:hAnsi="Times New Roman;Times;serif"/>
          <w:sz w:val="20"/>
        </w:rPr>
        <w:t> </w:t>
      </w:r>
      <w:r>
        <w:rPr>
          <w:rFonts w:ascii="Times New Roman;Times;serif" w:hAnsi="Times New Roman;Times;serif"/>
          <w:sz w:val="24"/>
        </w:rPr>
        <w:t>or </w:t>
      </w:r>
      <w:r>
        <w:rPr>
          <w:rFonts w:ascii="Times New Roman;Times;serif" w:hAnsi="Times New Roman;Times;serif"/>
          <w:sz w:val="24"/>
          <w:u w:val="single"/>
        </w:rPr>
        <w:t>Section 9.6(iii)</w:t>
      </w:r>
      <w:r>
        <w:rPr>
          <w:rFonts w:ascii="Times New Roman;Times;serif" w:hAnsi="Times New Roman;Times;serif"/>
          <w:sz w:val="20"/>
        </w:rPr>
        <w:t> </w:t>
      </w:r>
      <w:r>
        <w:rPr>
          <w:rFonts w:ascii="Times New Roman;Times;serif" w:hAnsi="Times New Roman;Times;serif"/>
          <w:sz w:val="24"/>
        </w:rPr>
        <w:t>of these Bylaws prior to a determination that the person is not entitled to be indemnified by the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9.6</w:t>
      </w:r>
      <w:r>
        <w:rPr>
          <w:rFonts w:ascii="Times New Roman;Times;serif" w:hAnsi="Times New Roman;Times;serif"/>
          <w:sz w:val="24"/>
          <w:u w:val="single"/>
        </w:rPr>
        <w:t>Limitation on Indemnification</w:t>
      </w:r>
      <w:r>
        <w:rPr>
          <w:rFonts w:ascii="Times New Roman;Times;serif" w:hAnsi="Times New Roman;Times;serif"/>
          <w:sz w:val="24"/>
        </w:rPr>
        <w:t>.  Subject to the requirements in </w:t>
      </w:r>
      <w:r>
        <w:rPr>
          <w:rFonts w:ascii="Times New Roman;Times;serif" w:hAnsi="Times New Roman;Times;serif"/>
          <w:sz w:val="24"/>
          <w:u w:val="single"/>
        </w:rPr>
        <w:t>Section 9.3</w:t>
      </w:r>
      <w:r>
        <w:rPr>
          <w:rFonts w:ascii="Times New Roman;Times;serif" w:hAnsi="Times New Roman;Times;serif"/>
          <w:sz w:val="20"/>
        </w:rPr>
        <w:t> </w:t>
      </w:r>
      <w:r>
        <w:rPr>
          <w:rFonts w:ascii="Times New Roman;Times;serif" w:hAnsi="Times New Roman;Times;serif"/>
          <w:sz w:val="24"/>
        </w:rPr>
        <w:t>of these Bylaws and the TBOC, the Company shall not be obligated to indemnify any person pursuant to this </w:t>
      </w:r>
      <w:r>
        <w:rPr>
          <w:rFonts w:ascii="Times New Roman;Times;serif" w:hAnsi="Times New Roman;Times;serif"/>
          <w:sz w:val="24"/>
          <w:u w:val="single"/>
        </w:rPr>
        <w:t>Article IX</w:t>
      </w:r>
      <w:r>
        <w:rPr>
          <w:rFonts w:ascii="Times New Roman;Times;serif" w:hAnsi="Times New Roman;Times;serif"/>
          <w:sz w:val="20"/>
        </w:rPr>
        <w:t> </w:t>
      </w:r>
      <w:r>
        <w:rPr>
          <w:rFonts w:ascii="Times New Roman;Times;serif" w:hAnsi="Times New Roman;Times;serif"/>
          <w:sz w:val="24"/>
        </w:rPr>
        <w:t>in connection with any Proceeding (or any part of any Proceeding):</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for which payment has actually been made to or on behalf of such person under any statute, insurance policy, indemnity provision, vote or otherwise, except with respect to any excess beyond the amount paid;</w:t>
      </w:r>
    </w:p>
    <w:p>
      <w:pPr>
        <w:pStyle w:val="TextBody"/>
        <w:bidi w:val="0"/>
        <w:spacing w:before="0" w:after="0"/>
        <w:ind w:left="144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for an accounting or disgorgement of profits pursuant to Section 16(b) of the 1934 Act, or similar provisions of federal, state or local statutory law or common law, if such person is held liable therefor (including pursuant to any settlement arrangements);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Times;serif" w:hAnsi="Times New Roman;Times;serif"/>
          <w:b/>
          <w:i/>
          <w:sz w:val="24"/>
        </w:rPr>
        <w:t>Sarbanes-Oxley Act</w:t>
      </w:r>
      <w:r>
        <w:rPr>
          <w:rFonts w:ascii="Times New Roman;Times;serif" w:hAnsi="Times New Roman;Times;serif"/>
          <w:sz w:val="20"/>
        </w:rPr>
        <w:t>”</w:t>
      </w:r>
      <w:r>
        <w:rPr>
          <w:rFonts w:ascii="Times New Roman;Times;serif" w:hAnsi="Times New Roman;Times;serif"/>
          <w:sz w:val="24"/>
        </w:rPr>
        <w: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Times New Roman;Times;serif" w:hAnsi="Times New Roman;Times;serif"/>
          <w:sz w:val="24"/>
          <w:u w:val="single"/>
        </w:rPr>
        <w:t>Section 9.7</w:t>
      </w:r>
      <w:r>
        <w:rPr>
          <w:rFonts w:ascii="Times New Roman;Times;serif" w:hAnsi="Times New Roman;Times;serif"/>
          <w:sz w:val="20"/>
        </w:rPr>
        <w:t> </w:t>
      </w:r>
      <w:r>
        <w:rPr>
          <w:rFonts w:ascii="Times New Roman;Times;serif" w:hAnsi="Times New Roman;Times;serif"/>
          <w:sz w:val="24"/>
        </w:rPr>
        <w:t>of these Bylaws or (d) otherwise required by applicable law; or</w:t>
      </w:r>
    </w:p>
    <w:p>
      <w:pPr>
        <w:pStyle w:val="TextBody"/>
        <w:bidi w:val="0"/>
        <w:spacing w:before="0" w:after="0"/>
        <w:ind w:left="720" w:right="0" w:hanging="0"/>
        <w:jc w:val="left"/>
        <w:rPr/>
      </w:pPr>
      <w:r>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if prohibited by applicable law.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9.7</w:t>
      </w:r>
      <w:r>
        <w:rPr>
          <w:rFonts w:ascii="Times New Roman;Times;serif" w:hAnsi="Times New Roman;Times;serif"/>
          <w:sz w:val="24"/>
          <w:u w:val="single"/>
        </w:rPr>
        <w:t>Determination; Claim</w:t>
      </w:r>
      <w:r>
        <w:rPr>
          <w:rFonts w:ascii="Times New Roman;Times;serif" w:hAnsi="Times New Roman;Times;serif"/>
          <w:sz w:val="24"/>
        </w:rPr>
        <w:t xml:space="preserve">.  If a claim for indemnification or advancement of expenses under this </w:t>
      </w:r>
      <w:r>
        <w:rPr>
          <w:rFonts w:ascii="Times New Roman;Times;serif" w:hAnsi="Times New Roman;Times;serif"/>
          <w:sz w:val="24"/>
          <w:u w:val="single"/>
        </w:rPr>
        <w:t>Article IX</w:t>
      </w:r>
      <w:r>
        <w:rPr>
          <w:rFonts w:ascii="Times New Roman;Times;serif" w:hAnsi="Times New Roman;Times;serif"/>
          <w:sz w:val="20"/>
        </w:rPr>
        <w:t xml:space="preserve"> </w:t>
      </w:r>
      <w:r>
        <w:rPr>
          <w:rFonts w:ascii="Times New Roman;Times;serif" w:hAnsi="Times New Roman;Times;serif"/>
          <w:sz w:val="24"/>
        </w:rPr>
        <w:t xml:space="preserve">is not paid by the Company or on its behalf within ninety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Times New Roman;Times;serif" w:hAnsi="Times New Roman;Times;serif"/>
          <w:sz w:val="24"/>
          <w:u w:val="single"/>
        </w:rPr>
        <w:t>Article IX</w:t>
      </w:r>
      <w:r>
        <w:rPr>
          <w:rFonts w:ascii="Times New Roman;Times;serif" w:hAnsi="Times New Roman;Times;serif"/>
          <w:sz w:val="24"/>
        </w:rPr>
        <w:t>, to the extent such person is successful in such action. In any such suit, the Company shall, to the fullest extent not prohibited by law, have the burden of proving that the claimant is not entitled to the requested indemnification or advancement of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9.8</w:t>
      </w:r>
      <w:r>
        <w:rPr>
          <w:rFonts w:ascii="Times New Roman;Times;serif" w:hAnsi="Times New Roman;Times;serif"/>
          <w:sz w:val="24"/>
          <w:u w:val="single"/>
        </w:rPr>
        <w:t>Non-Exclusivity of Rights</w:t>
      </w:r>
      <w:r>
        <w:rPr>
          <w:rFonts w:ascii="Times New Roman;Times;serif" w:hAnsi="Times New Roman;Times;serif"/>
          <w:sz w:val="24"/>
        </w:rPr>
        <w:t>.  The indemnification and advancement of expenses provided by, or granted pursuant to, this </w:t>
      </w:r>
      <w:r>
        <w:rPr>
          <w:rFonts w:ascii="Times New Roman;Times;serif" w:hAnsi="Times New Roman;Times;serif"/>
          <w:sz w:val="24"/>
          <w:u w:val="single"/>
        </w:rPr>
        <w:t>Article IX</w:t>
      </w:r>
      <w:r>
        <w:rPr>
          <w:rFonts w:ascii="Times New Roman;Times;serif" w:hAnsi="Times New Roman;Times;serif"/>
          <w:sz w:val="20"/>
        </w:rPr>
        <w:t> </w:t>
      </w:r>
      <w:r>
        <w:rPr>
          <w:rFonts w:ascii="Times New Roman;Times;serif" w:hAnsi="Times New Roman;Times;serif"/>
          <w:sz w:val="24"/>
        </w:rPr>
        <w:t>shall not be deemed exclusive of any other rights to which those seeking indemnification or advancement of expenses may be entitled under the Certificate of Formation or any statute, bylaw, agreement, vote of shareholders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TBOC or other applicable law.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9.9</w:t>
      </w:r>
      <w:r>
        <w:rPr>
          <w:rFonts w:ascii="Times New Roman;Times;serif" w:hAnsi="Times New Roman;Times;serif"/>
          <w:sz w:val="24"/>
          <w:u w:val="single"/>
        </w:rPr>
        <w:t>Insurance</w:t>
      </w:r>
      <w:r>
        <w:rPr>
          <w:rFonts w:ascii="Times New Roman;Times;serif" w:hAnsi="Times New Roman;Times;serif"/>
          <w:sz w:val="24"/>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TBOC.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9.10</w:t>
      </w:r>
      <w:r>
        <w:rPr>
          <w:rFonts w:ascii="Times New Roman;Times;serif" w:hAnsi="Times New Roman;Times;serif"/>
          <w:sz w:val="24"/>
          <w:u w:val="single"/>
        </w:rPr>
        <w:t>Survival</w:t>
      </w:r>
      <w:r>
        <w:rPr>
          <w:rFonts w:ascii="Times New Roman;Times;serif" w:hAnsi="Times New Roman;Times;serif"/>
          <w:sz w:val="24"/>
        </w:rPr>
        <w:t>.  The rights to indemnification and advancement of expenses conferred by this </w:t>
      </w:r>
      <w:r>
        <w:rPr>
          <w:rFonts w:ascii="Times New Roman;Times;serif" w:hAnsi="Times New Roman;Times;serif"/>
          <w:sz w:val="24"/>
          <w:u w:val="single"/>
        </w:rPr>
        <w:t>Article IX</w:t>
      </w:r>
      <w:r>
        <w:rPr>
          <w:rFonts w:ascii="Times New Roman;Times;serif" w:hAnsi="Times New Roman;Times;serif"/>
          <w:sz w:val="20"/>
        </w:rPr>
        <w:t> </w:t>
      </w:r>
      <w:r>
        <w:rPr>
          <w:rFonts w:ascii="Times New Roman;Times;serif" w:hAnsi="Times New Roman;Times;serif"/>
          <w:sz w:val="24"/>
        </w:rPr>
        <w:t>shall continue as to a person who has ceased to be a director, officer, employee or agent and shall inure to the benefit of the heirs, executors and administrators of such a person.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9.11</w:t>
      </w:r>
      <w:r>
        <w:rPr>
          <w:rFonts w:ascii="Times New Roman;Times;serif" w:hAnsi="Times New Roman;Times;serif"/>
          <w:sz w:val="24"/>
          <w:u w:val="single"/>
        </w:rPr>
        <w:t>Effect of Repeal or Modification</w:t>
      </w:r>
      <w:r>
        <w:rPr>
          <w:rFonts w:ascii="Times New Roman;Times;serif" w:hAnsi="Times New Roman;Times;serif"/>
          <w:sz w:val="24"/>
        </w:rPr>
        <w:t>.  A right to indemnification or to advancement of expenses arising under a provision of the Certificate of Formation or a bylaw shall not be eliminated or impaired by an amendment to the Certificate of Formation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9.12</w:t>
      </w:r>
      <w:r>
        <w:rPr>
          <w:rFonts w:ascii="Times New Roman;Times;serif" w:hAnsi="Times New Roman;Times;serif"/>
          <w:sz w:val="24"/>
          <w:u w:val="single"/>
        </w:rPr>
        <w:t>Certain Definitions</w:t>
      </w:r>
      <w:r>
        <w:rPr>
          <w:rFonts w:ascii="Times New Roman;Times;serif" w:hAnsi="Times New Roman;Times;serif"/>
          <w:sz w:val="24"/>
        </w:rPr>
        <w:t>.  For purposes of this </w:t>
      </w:r>
      <w:r>
        <w:rPr>
          <w:rFonts w:ascii="Times New Roman;Times;serif" w:hAnsi="Times New Roman;Times;serif"/>
          <w:sz w:val="24"/>
          <w:u w:val="single"/>
        </w:rPr>
        <w:t>Article IX</w:t>
      </w:r>
      <w:r>
        <w:rPr>
          <w:rFonts w:ascii="Times New Roman;Times;serif" w:hAnsi="Times New Roman;Times;serif"/>
          <w:sz w:val="24"/>
        </w:rPr>
        <w:t>, references to the “</w:t>
      </w:r>
      <w:r>
        <w:rPr>
          <w:rFonts w:ascii="Times New Roman;Times;serif" w:hAnsi="Times New Roman;Times;serif"/>
          <w:b/>
          <w:i/>
          <w:sz w:val="24"/>
        </w:rPr>
        <w:t>Company</w:t>
      </w:r>
      <w:r>
        <w:rPr>
          <w:rFonts w:ascii="Times New Roman;Times;serif" w:hAnsi="Times New Roman;Times;serif"/>
          <w:sz w:val="20"/>
        </w:rPr>
        <w:t>” </w:t>
      </w:r>
      <w:r>
        <w:rPr>
          <w:rFonts w:ascii="Times New Roman;Times;serif" w:hAnsi="Times New Roman;Times;serif"/>
          <w:sz w:val="24"/>
        </w:rPr>
        <w:t>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Times;serif" w:hAnsi="Times New Roman;Times;serif"/>
          <w:sz w:val="24"/>
          <w:u w:val="single"/>
        </w:rPr>
        <w:t>Article IX</w:t>
      </w:r>
      <w:r>
        <w:rPr>
          <w:rFonts w:ascii="Times New Roman;Times;serif" w:hAnsi="Times New Roman;Times;serif"/>
          <w:sz w:val="20"/>
        </w:rPr>
        <w:t> </w:t>
      </w:r>
      <w:r>
        <w:rPr>
          <w:rFonts w:ascii="Times New Roman;Times;serif" w:hAnsi="Times New Roman;Times;serif"/>
          <w:sz w:val="24"/>
        </w:rPr>
        <w:t>with respect to the resulting or surviving corporation as such person would have with respect to such constituent corporation if its separate existence had continued. For purposes of this </w:t>
      </w:r>
      <w:r>
        <w:rPr>
          <w:rFonts w:ascii="Times New Roman;Times;serif" w:hAnsi="Times New Roman;Times;serif"/>
          <w:sz w:val="24"/>
          <w:u w:val="single"/>
        </w:rPr>
        <w:t>Article IX</w:t>
      </w:r>
      <w:r>
        <w:rPr>
          <w:rFonts w:ascii="Times New Roman;Times;serif" w:hAnsi="Times New Roman;Times;serif"/>
          <w:sz w:val="24"/>
        </w:rPr>
        <w:t>, references to “</w:t>
      </w:r>
      <w:r>
        <w:rPr>
          <w:rFonts w:ascii="Times New Roman;Times;serif" w:hAnsi="Times New Roman;Times;serif"/>
          <w:b/>
          <w:i/>
          <w:sz w:val="24"/>
        </w:rPr>
        <w:t>other enterprises</w:t>
      </w:r>
      <w:r>
        <w:rPr>
          <w:rFonts w:ascii="Times New Roman;Times;serif" w:hAnsi="Times New Roman;Times;serif"/>
          <w:sz w:val="20"/>
        </w:rPr>
        <w:t>” </w:t>
      </w:r>
      <w:r>
        <w:rPr>
          <w:rFonts w:ascii="Times New Roman;Times;serif" w:hAnsi="Times New Roman;Times;serif"/>
          <w:sz w:val="24"/>
        </w:rPr>
        <w:t>shall include employee benefit plans; references to “</w:t>
      </w:r>
      <w:r>
        <w:rPr>
          <w:rFonts w:ascii="Times New Roman;Times;serif" w:hAnsi="Times New Roman;Times;serif"/>
          <w:b/>
          <w:i/>
          <w:sz w:val="24"/>
        </w:rPr>
        <w:t>fines</w:t>
      </w:r>
      <w:r>
        <w:rPr>
          <w:rFonts w:ascii="Times New Roman;Times;serif" w:hAnsi="Times New Roman;Times;serif"/>
          <w:sz w:val="20"/>
        </w:rPr>
        <w:t>” </w:t>
      </w:r>
      <w:r>
        <w:rPr>
          <w:rFonts w:ascii="Times New Roman;Times;serif" w:hAnsi="Times New Roman;Times;serif"/>
          <w:sz w:val="24"/>
        </w:rPr>
        <w:t>shall include any excise taxes assessed on a person with respect to an employee benefit plan; references to “</w:t>
      </w:r>
      <w:r>
        <w:rPr>
          <w:rFonts w:ascii="Times New Roman;Times;serif" w:hAnsi="Times New Roman;Times;serif"/>
          <w:b/>
          <w:i/>
          <w:sz w:val="24"/>
        </w:rPr>
        <w:t>serving at the request of the Company</w:t>
      </w:r>
      <w:r>
        <w:rPr>
          <w:rFonts w:ascii="Times New Roman;Times;serif" w:hAnsi="Times New Roman;Times;serif"/>
          <w:sz w:val="20"/>
        </w:rPr>
        <w:t>” </w:t>
      </w:r>
      <w:r>
        <w:rPr>
          <w:rFonts w:ascii="Times New Roman;Times;serif" w:hAnsi="Times New Roman;Times;serif"/>
          <w:sz w:val="24"/>
        </w:rPr>
        <w:t>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Times;serif" w:hAnsi="Times New Roman;Times;serif"/>
          <w:b/>
          <w:i/>
          <w:sz w:val="24"/>
        </w:rPr>
        <w:t>not opposed to the best interests of the Company</w:t>
      </w:r>
      <w:r>
        <w:rPr>
          <w:rFonts w:ascii="Times New Roman;Times;serif" w:hAnsi="Times New Roman;Times;serif"/>
          <w:sz w:val="20"/>
        </w:rPr>
        <w:t>” </w:t>
      </w:r>
      <w:r>
        <w:rPr>
          <w:rFonts w:ascii="Times New Roman;Times;serif" w:hAnsi="Times New Roman;Times;serif"/>
          <w:sz w:val="24"/>
        </w:rPr>
        <w:t>as referred to in this </w:t>
      </w:r>
      <w:r>
        <w:rPr>
          <w:rFonts w:ascii="Times New Roman;Times;serif" w:hAnsi="Times New Roman;Times;serif"/>
          <w:sz w:val="24"/>
          <w:u w:val="single"/>
        </w:rPr>
        <w:t>Article IX</w:t>
      </w:r>
      <w:r>
        <w:rPr>
          <w:rFonts w:ascii="Times New Roman;Times;serif" w:hAnsi="Times New Roman;Times;serif"/>
          <w:sz w:val="24"/>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ARTICLE X</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AMENDMENTS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10.1</w:t>
      </w:r>
      <w:r>
        <w:rPr>
          <w:rFonts w:ascii="Times New Roman;Times;serif" w:hAnsi="Times New Roman;Times;serif"/>
          <w:sz w:val="24"/>
          <w:u w:val="single"/>
        </w:rPr>
        <w:t>By the Board of Directors</w:t>
      </w:r>
      <w:r>
        <w:rPr>
          <w:rFonts w:ascii="Times New Roman;Times;serif" w:hAnsi="Times New Roman;Times;serif"/>
          <w:sz w:val="24"/>
        </w:rPr>
        <w:t>.  These Bylaws may be altered, amended, or repealed, or new Bylaws may be adopted, by the Board.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10.2</w:t>
      </w:r>
      <w:r>
        <w:rPr>
          <w:rFonts w:ascii="Times New Roman;Times;serif" w:hAnsi="Times New Roman;Times;serif"/>
          <w:sz w:val="24"/>
          <w:u w:val="single"/>
        </w:rPr>
        <w:t>By the Shareholders</w:t>
      </w:r>
      <w:r>
        <w:rPr>
          <w:rFonts w:ascii="Times New Roman;Times;serif" w:hAnsi="Times New Roman;Times;serif"/>
          <w:sz w:val="24"/>
        </w:rPr>
        <w:t>.  These Bylaws may be altered, amended, or repealed, or new Bylaws may be adopted, at any special meeting of the shareholders if duly called for that purpose (provided that in the notice of such special meeting, notice of such purpose shall be given), or at any annual meeting, as provided in the Certificate of 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40" w:name="asle-20260925xex5d1.htm"/>
      <w:bookmarkStart w:id="41" w:name="ksasle20260925xex5d1"/>
      <w:bookmarkEnd w:id="40"/>
      <w:bookmarkEnd w:id="41"/>
      <w:r>
        <w:rPr>
          <w:rFonts w:ascii="Times New Roman;Times;serif" w:hAnsi="Times New Roman;Times;serif"/>
          <w:b/>
          <w:sz w:val="24"/>
        </w:rPr>
        <w:t>Exhibit 5.1</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42" w:name="_mps388515140000000000000006887000000000"/>
      <w:bookmarkEnd w:id="42"/>
      <w:r>
        <w:rPr/>
        <w:drawing>
          <wp:inline distT="0" distB="0" distL="0" distR="0">
            <wp:extent cx="1472565" cy="567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2565" cy="56705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25,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AerSale Corporation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9850 NW 41st Street, Suite 400</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Doral, Florida 33178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have acted as Texas corporate counsel for AerSale Corporation, a Texas corporation (the “Company”), which is the converted entity (for purposes of Title 1, Chapter 10, Subchapter C of the Texas Business Organizations Code) in the conversion of AerSale Corporation, a Delaware corporation (the “Delaware Corporation”), into a Texas corporation (the “Conversion”) pursuant to the Certificate of Conversion filed with the Texas Secretary of State, including the related Plan of Conversion (the “Texas Certificate of Conversion”), and the Certificate of Conversion filed with the Delaware Secretary of State, including the related Plan of Conversion (the “Delaware Certificate of Conversion”), in connection with the Company’s Registration Statements on Form S-8 (File Nos. 333-288567, 333-274663 and 333-253424) (together, the “Registration Statements”), filed with the Securities and Exchange Commission (the “Commission”) on July 8, 2025, September 22, 2023 and February 24, 2021, respectively, relating to the registration under the Securities Act of 1933, as amended (the “Securities Act”), of shares (the “Shares”) of the Company’s common stock, par value $0.0001 per share (the “Common Stock”), issuable pursuant to the AerSale Corporation 2020 Equity Incentive Plan, as amended (the “Equity Incentive Plan”), and the AerSale Corporation 2020 Employee Stock Purchase Plan (the “ESPP” and, together with the Equity Incentive Plan, the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We have examined the originals, or photostatic or certified copies, of such records of the Company and certificates of officers of the Company and of public officials and such other documents as we have deemed relevant and necessary as the basis for the opinions set forth below, including: the Plans; the Registration Statements; the Company’s certificate of formation (the “Certificate of Formation”) and the Company’s bylaws, each as currently in effect; the Texas Certificate of Conversion and the Delaware Certificate of Conversion; and such other documents and records as we have deemed necessary to enable us to render this opinion.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further assumed that prior to the Conversion, the Delaware Corporation has taken all corporate action required under the laws of the State of Delaware to authorize and approve the Plans and the transactions contemplated thereby, including the issuance by the Company of the Shares; and after any issuance of Shares, the total number of issued and outstanding shares of Common Stock, together with the total number of shares of Common Stock then reserved for issuance or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5.1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obligated to be issued by the Company pursuant to any agreement, plan (including the Plans) or arrangement, or otherwise, will not exceed the total number of shares of Common Stock then authorized under the Company’s Certificate of 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are opining herein as to the laws of the State of Texas, and we express no opinion with respect to any other laws.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Based upon the foregoing examination and in reliance thereon, and subject to the assumptions stated and in reliance on statements of fact contained in the documents that we have examined, we are of the opinion that the Shares have been duly authorized and, when issued in accordance with the terms of the Plans against payment therefor, will be validly issued, fully paid and non-assessable.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We hereby consent to the filing of this opinion letter as an exhibit to the Company’s Current Report on Form 8-K, incorporated by reference into the Registration Statements. In giving this consent, we do not admit that we are within the category of persons whose consent is required by Section 7 of the Securities Act or the Rules and Regulations of the Commission.</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0" w:after="1320"/>
        <w:ind w:left="4320" w:right="0" w:hanging="0"/>
        <w:jc w:val="left"/>
        <w:rPr>
          <w:rFonts w:ascii="Times New Roman;Times;serif" w:hAnsi="Times New Roman;Times;serif"/>
          <w:sz w:val="24"/>
        </w:rPr>
      </w:pPr>
      <w:r>
        <w:rPr>
          <w:rFonts w:ascii="Times New Roman;Times;serif" w:hAnsi="Times New Roman;Times;serif"/>
          <w:sz w:val="24"/>
        </w:rPr>
        <w:t>/s/ Snell &amp; Wilmer L.L.P.</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21665</Words>
  <Characters>109536</Characters>
  <CharactersWithSpaces>131085</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